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2B0F9C" w14:paraId="4315A2DE" w14:textId="77777777" w:rsidTr="00D82FA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2B0F9C" w:rsidRDefault="00795C6B" w:rsidP="002B0F9C">
            <w:pPr>
              <w:pStyle w:val="Ttulo2"/>
              <w:ind w:right="72"/>
              <w:jc w:val="left"/>
              <w:rPr>
                <w:rFonts w:ascii="Verdana" w:hAnsi="Verdana" w:cs="Arial"/>
                <w:bCs/>
                <w:sz w:val="22"/>
                <w:szCs w:val="22"/>
              </w:rPr>
            </w:pPr>
            <w:bookmarkStart w:id="0" w:name="_GoBack"/>
            <w:bookmarkEnd w:id="0"/>
            <w:r w:rsidRPr="002B0F9C">
              <w:rPr>
                <w:rFonts w:ascii="Verdana" w:hAnsi="Verdana" w:cs="Arial"/>
                <w:sz w:val="22"/>
                <w:szCs w:val="22"/>
                <w:lang w:val="es-CO"/>
              </w:rPr>
              <w:t>Entidad</w:t>
            </w:r>
            <w:r w:rsidR="00086B16" w:rsidRPr="002B0F9C">
              <w:rPr>
                <w:rFonts w:ascii="Verdana" w:hAnsi="Verdana" w:cs="Arial"/>
                <w:sz w:val="22"/>
                <w:szCs w:val="22"/>
                <w:lang w:val="es-CO"/>
              </w:rPr>
              <w:t xml:space="preserve"> </w:t>
            </w:r>
            <w:r w:rsidRPr="002B0F9C">
              <w:rPr>
                <w:rFonts w:ascii="Verdana" w:hAnsi="Verdana" w:cs="Arial"/>
                <w:sz w:val="22"/>
                <w:szCs w:val="22"/>
                <w:lang w:val="es-CO"/>
              </w:rPr>
              <w:t>originadora</w:t>
            </w:r>
            <w:r w:rsidR="00293F29" w:rsidRPr="002B0F9C">
              <w:rPr>
                <w:rFonts w:ascii="Verdana" w:hAnsi="Verdana" w:cs="Arial"/>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485BAFCA" w14:textId="77777777" w:rsidR="0026513E" w:rsidRPr="002B0F9C" w:rsidRDefault="00B53CE8" w:rsidP="002B0F9C">
            <w:pPr>
              <w:pStyle w:val="Ttulo2"/>
              <w:ind w:left="72" w:right="72"/>
              <w:jc w:val="left"/>
              <w:rPr>
                <w:rFonts w:ascii="Verdana" w:hAnsi="Verdana" w:cs="Arial"/>
                <w:b w:val="0"/>
                <w:iCs/>
                <w:sz w:val="22"/>
                <w:szCs w:val="22"/>
              </w:rPr>
            </w:pPr>
            <w:r w:rsidRPr="002B0F9C">
              <w:rPr>
                <w:rFonts w:ascii="Verdana" w:hAnsi="Verdana" w:cs="Arial"/>
                <w:b w:val="0"/>
                <w:iCs/>
                <w:sz w:val="22"/>
                <w:szCs w:val="22"/>
              </w:rPr>
              <w:t>Ministerio de Ambiente y Desarrollo Sostenible</w:t>
            </w:r>
          </w:p>
        </w:tc>
      </w:tr>
      <w:tr w:rsidR="005C4522" w:rsidRPr="002B0F9C" w14:paraId="22361B98" w14:textId="77777777" w:rsidTr="00D82FA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2B0F9C" w:rsidRDefault="0026513E" w:rsidP="002B0F9C">
            <w:pPr>
              <w:pStyle w:val="Ttulo2"/>
              <w:ind w:right="72"/>
              <w:jc w:val="left"/>
              <w:rPr>
                <w:rFonts w:ascii="Verdana" w:hAnsi="Verdana" w:cs="Arial"/>
                <w:bCs/>
                <w:sz w:val="22"/>
                <w:szCs w:val="22"/>
              </w:rPr>
            </w:pPr>
            <w:r w:rsidRPr="002B0F9C">
              <w:rPr>
                <w:rFonts w:ascii="Verdana" w:hAnsi="Verdana" w:cs="Arial"/>
                <w:bCs/>
                <w:sz w:val="22"/>
                <w:szCs w:val="22"/>
              </w:rPr>
              <w:t>Fecha</w:t>
            </w:r>
            <w:r w:rsidR="00BB545F" w:rsidRPr="002B0F9C">
              <w:rPr>
                <w:rFonts w:ascii="Verdana" w:hAnsi="Verdana" w:cs="Arial"/>
                <w:bCs/>
                <w:sz w:val="22"/>
                <w:szCs w:val="22"/>
              </w:rPr>
              <w:t xml:space="preserve"> (dd/mm/aa)</w:t>
            </w:r>
            <w:r w:rsidR="00293F29" w:rsidRPr="002B0F9C">
              <w:rPr>
                <w:rFonts w:ascii="Verdana" w:hAnsi="Verdana" w:cs="Arial"/>
                <w:bCs/>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3516C713" w14:textId="3821A59F" w:rsidR="00C47F73" w:rsidRPr="002B0F9C" w:rsidRDefault="000F675A" w:rsidP="002B0F9C">
            <w:pPr>
              <w:pStyle w:val="Ttulo2"/>
              <w:ind w:left="72" w:right="72"/>
              <w:jc w:val="left"/>
              <w:rPr>
                <w:rFonts w:ascii="Verdana" w:hAnsi="Verdana" w:cs="Arial"/>
                <w:b w:val="0"/>
                <w:iCs/>
                <w:sz w:val="22"/>
                <w:szCs w:val="22"/>
              </w:rPr>
            </w:pPr>
            <w:r w:rsidRPr="002B0F9C">
              <w:rPr>
                <w:rFonts w:ascii="Verdana" w:hAnsi="Verdana" w:cs="Arial"/>
                <w:b w:val="0"/>
                <w:iCs/>
                <w:sz w:val="22"/>
                <w:szCs w:val="22"/>
              </w:rPr>
              <w:t xml:space="preserve">01 </w:t>
            </w:r>
            <w:r w:rsidR="000533A8" w:rsidRPr="002B0F9C">
              <w:rPr>
                <w:rFonts w:ascii="Verdana" w:hAnsi="Verdana" w:cs="Arial"/>
                <w:b w:val="0"/>
                <w:iCs/>
                <w:sz w:val="22"/>
                <w:szCs w:val="22"/>
              </w:rPr>
              <w:t xml:space="preserve">de </w:t>
            </w:r>
            <w:r w:rsidR="00033748" w:rsidRPr="002B0F9C">
              <w:rPr>
                <w:rFonts w:ascii="Verdana" w:hAnsi="Verdana" w:cs="Arial"/>
                <w:b w:val="0"/>
                <w:iCs/>
                <w:sz w:val="22"/>
                <w:szCs w:val="22"/>
              </w:rPr>
              <w:t>ju</w:t>
            </w:r>
            <w:r w:rsidRPr="002B0F9C">
              <w:rPr>
                <w:rFonts w:ascii="Verdana" w:hAnsi="Verdana" w:cs="Arial"/>
                <w:b w:val="0"/>
                <w:iCs/>
                <w:sz w:val="22"/>
                <w:szCs w:val="22"/>
              </w:rPr>
              <w:t xml:space="preserve">lio </w:t>
            </w:r>
            <w:r w:rsidR="000533A8" w:rsidRPr="002B0F9C">
              <w:rPr>
                <w:rFonts w:ascii="Verdana" w:hAnsi="Verdana" w:cs="Arial"/>
                <w:b w:val="0"/>
                <w:iCs/>
                <w:sz w:val="22"/>
                <w:szCs w:val="22"/>
              </w:rPr>
              <w:t>de 202</w:t>
            </w:r>
            <w:r w:rsidR="00033748" w:rsidRPr="002B0F9C">
              <w:rPr>
                <w:rFonts w:ascii="Verdana" w:hAnsi="Verdana" w:cs="Arial"/>
                <w:b w:val="0"/>
                <w:iCs/>
                <w:sz w:val="22"/>
                <w:szCs w:val="22"/>
              </w:rPr>
              <w:t>6</w:t>
            </w:r>
          </w:p>
        </w:tc>
      </w:tr>
      <w:tr w:rsidR="005C4522" w:rsidRPr="002B0F9C" w14:paraId="05DECBC6" w14:textId="77777777" w:rsidTr="00D82FA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6094478D" w14:textId="77777777" w:rsidR="0059316B" w:rsidRPr="002B0F9C" w:rsidRDefault="00A55DB6" w:rsidP="002B0F9C">
            <w:pPr>
              <w:pStyle w:val="Ttulo2"/>
              <w:ind w:right="72"/>
              <w:jc w:val="left"/>
              <w:rPr>
                <w:rFonts w:ascii="Verdana" w:hAnsi="Verdana" w:cs="Arial"/>
                <w:bCs/>
                <w:sz w:val="22"/>
                <w:szCs w:val="22"/>
              </w:rPr>
            </w:pPr>
            <w:r w:rsidRPr="002B0F9C">
              <w:rPr>
                <w:rFonts w:ascii="Verdana" w:hAnsi="Verdana" w:cs="Arial"/>
                <w:bCs/>
                <w:sz w:val="22"/>
                <w:szCs w:val="22"/>
              </w:rPr>
              <w:t xml:space="preserve">Proyecto de </w:t>
            </w:r>
            <w:r w:rsidR="00587695" w:rsidRPr="002B0F9C">
              <w:rPr>
                <w:rFonts w:ascii="Verdana" w:hAnsi="Verdana" w:cs="Arial"/>
                <w:bCs/>
                <w:sz w:val="22"/>
                <w:szCs w:val="22"/>
              </w:rPr>
              <w:t>D</w:t>
            </w:r>
            <w:r w:rsidRPr="002B0F9C">
              <w:rPr>
                <w:rFonts w:ascii="Verdana" w:hAnsi="Verdana" w:cs="Arial"/>
                <w:bCs/>
                <w:sz w:val="22"/>
                <w:szCs w:val="22"/>
              </w:rPr>
              <w:t>ecreto</w:t>
            </w:r>
            <w:r w:rsidR="00293F29" w:rsidRPr="002B0F9C">
              <w:rPr>
                <w:rFonts w:ascii="Verdana" w:hAnsi="Verdana" w:cs="Arial"/>
                <w:bCs/>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580F0C62" w14:textId="03041C83" w:rsidR="00033748" w:rsidRPr="002B0F9C" w:rsidRDefault="000533A8" w:rsidP="002B0F9C">
            <w:pPr>
              <w:pStyle w:val="Ttulo2"/>
              <w:ind w:left="72" w:right="72"/>
              <w:jc w:val="both"/>
              <w:rPr>
                <w:rFonts w:ascii="Verdana" w:hAnsi="Verdana"/>
                <w:b w:val="0"/>
                <w:sz w:val="22"/>
                <w:szCs w:val="22"/>
              </w:rPr>
            </w:pPr>
            <w:r w:rsidRPr="002B0F9C">
              <w:rPr>
                <w:rFonts w:ascii="Verdana" w:hAnsi="Verdana" w:cs="Arial"/>
                <w:b w:val="0"/>
                <w:color w:val="000000"/>
                <w:sz w:val="22"/>
                <w:szCs w:val="22"/>
              </w:rPr>
              <w:t>“</w:t>
            </w:r>
            <w:r w:rsidR="00033748" w:rsidRPr="002B0F9C">
              <w:rPr>
                <w:rFonts w:ascii="Verdana" w:hAnsi="Verdana" w:cs="Arial"/>
                <w:b w:val="0"/>
                <w:i/>
                <w:sz w:val="22"/>
                <w:szCs w:val="22"/>
                <w:highlight w:val="white"/>
              </w:rPr>
              <w:t>Por el cual se establecen reglas especiales sobre la vigencia de la oferta de compra emitida por la Unidad Administrativa Especial de Parques Nacionales Naturales de Colombia a los propietarios de predios y mejoras ubicados en áreas protegidas</w:t>
            </w:r>
            <w:r w:rsidR="00033748" w:rsidRPr="002B0F9C">
              <w:rPr>
                <w:rFonts w:ascii="Verdana" w:hAnsi="Verdana" w:cs="Arial"/>
                <w:b w:val="0"/>
                <w:i/>
                <w:sz w:val="22"/>
                <w:szCs w:val="22"/>
              </w:rPr>
              <w:t>”</w:t>
            </w:r>
          </w:p>
        </w:tc>
      </w:tr>
      <w:tr w:rsidR="00DF60FD" w:rsidRPr="002B0F9C" w14:paraId="5D599D2F" w14:textId="77777777" w:rsidTr="00070C7B">
        <w:trPr>
          <w:trHeight w:val="456"/>
        </w:trPr>
        <w:tc>
          <w:tcPr>
            <w:tcW w:w="10774" w:type="dxa"/>
            <w:gridSpan w:val="3"/>
            <w:tcBorders>
              <w:top w:val="single" w:sz="4" w:space="0" w:color="auto"/>
            </w:tcBorders>
            <w:shd w:val="clear" w:color="auto" w:fill="FFFFFF"/>
            <w:vAlign w:val="center"/>
          </w:tcPr>
          <w:p w14:paraId="69EC224E" w14:textId="77777777" w:rsidR="0095690D" w:rsidRPr="002B0F9C" w:rsidRDefault="0095690D" w:rsidP="009B3CA0">
            <w:pPr>
              <w:numPr>
                <w:ilvl w:val="0"/>
                <w:numId w:val="46"/>
              </w:numPr>
              <w:jc w:val="both"/>
              <w:rPr>
                <w:rFonts w:ascii="Verdana" w:hAnsi="Verdana" w:cs="Arial"/>
                <w:b/>
                <w:sz w:val="22"/>
                <w:szCs w:val="22"/>
                <w:lang w:val="es-CO"/>
              </w:rPr>
            </w:pPr>
            <w:r w:rsidRPr="002B0F9C">
              <w:rPr>
                <w:rFonts w:ascii="Verdana" w:hAnsi="Verdana" w:cs="Arial"/>
                <w:b/>
                <w:sz w:val="22"/>
                <w:szCs w:val="22"/>
                <w:lang w:val="es-CO"/>
              </w:rPr>
              <w:t>ANTECEDENTES Y RAZONES DE OPORTUNIDAD Y CONVENIENCIA QUE JUSTIFICAN SU EXPEDICIÓN.</w:t>
            </w:r>
          </w:p>
          <w:p w14:paraId="672A6659" w14:textId="77777777" w:rsidR="00554E71" w:rsidRPr="002B0F9C" w:rsidRDefault="00554E71" w:rsidP="002B0F9C">
            <w:pPr>
              <w:pStyle w:val="Listavistosa-nfasis11"/>
              <w:spacing w:after="0" w:line="240" w:lineRule="auto"/>
              <w:ind w:left="0"/>
              <w:jc w:val="both"/>
              <w:rPr>
                <w:rFonts w:ascii="Verdana" w:hAnsi="Verdana" w:cs="Arial"/>
                <w:iCs/>
              </w:rPr>
            </w:pPr>
          </w:p>
          <w:p w14:paraId="7BAB76DC" w14:textId="2127EC10" w:rsidR="009B3CA0" w:rsidRDefault="009B3CA0" w:rsidP="002B0F9C">
            <w:pPr>
              <w:jc w:val="both"/>
              <w:rPr>
                <w:rFonts w:ascii="Verdana" w:hAnsi="Verdana" w:cs="Arial"/>
                <w:bCs/>
                <w:color w:val="000000"/>
                <w:sz w:val="22"/>
                <w:szCs w:val="22"/>
              </w:rPr>
            </w:pPr>
            <w:r>
              <w:rPr>
                <w:rFonts w:ascii="Verdana" w:hAnsi="Verdana" w:cs="Arial"/>
                <w:bCs/>
                <w:color w:val="000000"/>
                <w:sz w:val="22"/>
                <w:szCs w:val="22"/>
              </w:rPr>
              <w:t xml:space="preserve">En Colombia el </w:t>
            </w:r>
            <w:r w:rsidRPr="009B3CA0">
              <w:rPr>
                <w:rFonts w:ascii="Verdana" w:hAnsi="Verdana" w:cs="Arial"/>
                <w:bCs/>
                <w:color w:val="000000"/>
                <w:sz w:val="22"/>
                <w:szCs w:val="22"/>
              </w:rPr>
              <w:t xml:space="preserve">ambiente </w:t>
            </w:r>
            <w:r>
              <w:rPr>
                <w:rFonts w:ascii="Verdana" w:hAnsi="Verdana" w:cs="Arial"/>
                <w:bCs/>
                <w:color w:val="000000"/>
                <w:sz w:val="22"/>
                <w:szCs w:val="22"/>
              </w:rPr>
              <w:t>es</w:t>
            </w:r>
            <w:r w:rsidRPr="009B3CA0">
              <w:rPr>
                <w:rFonts w:ascii="Verdana" w:hAnsi="Verdana" w:cs="Arial"/>
                <w:bCs/>
                <w:color w:val="000000"/>
                <w:sz w:val="22"/>
                <w:szCs w:val="22"/>
              </w:rPr>
              <w:t xml:space="preserve"> un bien jurídico constitucionalmente protegido, en el que concurren </w:t>
            </w:r>
            <w:r>
              <w:rPr>
                <w:rFonts w:ascii="Verdana" w:hAnsi="Verdana" w:cs="Arial"/>
                <w:bCs/>
                <w:color w:val="000000"/>
                <w:sz w:val="22"/>
                <w:szCs w:val="22"/>
              </w:rPr>
              <w:t xml:space="preserve">varias </w:t>
            </w:r>
            <w:r w:rsidRPr="009B3CA0">
              <w:rPr>
                <w:rFonts w:ascii="Verdana" w:hAnsi="Verdana" w:cs="Arial"/>
                <w:bCs/>
                <w:color w:val="000000"/>
                <w:sz w:val="22"/>
                <w:szCs w:val="22"/>
              </w:rPr>
              <w:t>dimensiones</w:t>
            </w:r>
            <w:r>
              <w:rPr>
                <w:rFonts w:ascii="Verdana" w:hAnsi="Verdana" w:cs="Arial"/>
                <w:bCs/>
                <w:color w:val="000000"/>
                <w:sz w:val="22"/>
                <w:szCs w:val="22"/>
              </w:rPr>
              <w:t xml:space="preserve">, i) </w:t>
            </w:r>
            <w:r w:rsidRPr="009B3CA0">
              <w:rPr>
                <w:rFonts w:ascii="Verdana" w:hAnsi="Verdana" w:cs="Arial"/>
                <w:bCs/>
                <w:color w:val="000000"/>
                <w:sz w:val="22"/>
                <w:szCs w:val="22"/>
              </w:rPr>
              <w:t xml:space="preserve">es un principio, </w:t>
            </w:r>
            <w:r>
              <w:rPr>
                <w:rFonts w:ascii="Verdana" w:hAnsi="Verdana" w:cs="Arial"/>
                <w:bCs/>
                <w:color w:val="000000"/>
                <w:sz w:val="22"/>
                <w:szCs w:val="22"/>
              </w:rPr>
              <w:t xml:space="preserve">ii) </w:t>
            </w:r>
            <w:r w:rsidRPr="009B3CA0">
              <w:rPr>
                <w:rFonts w:ascii="Verdana" w:hAnsi="Verdana" w:cs="Arial"/>
                <w:bCs/>
                <w:color w:val="000000"/>
                <w:sz w:val="22"/>
                <w:szCs w:val="22"/>
              </w:rPr>
              <w:t xml:space="preserve">un derecho constitucional, </w:t>
            </w:r>
            <w:r>
              <w:rPr>
                <w:rFonts w:ascii="Verdana" w:hAnsi="Verdana" w:cs="Arial"/>
                <w:bCs/>
                <w:color w:val="000000"/>
                <w:sz w:val="22"/>
                <w:szCs w:val="22"/>
              </w:rPr>
              <w:t xml:space="preserve">iii) </w:t>
            </w:r>
            <w:r w:rsidRPr="009B3CA0">
              <w:rPr>
                <w:rFonts w:ascii="Verdana" w:hAnsi="Verdana" w:cs="Arial"/>
                <w:bCs/>
                <w:color w:val="000000"/>
                <w:sz w:val="22"/>
                <w:szCs w:val="22"/>
              </w:rPr>
              <w:t>un servicio público y</w:t>
            </w:r>
            <w:r>
              <w:rPr>
                <w:rFonts w:ascii="Verdana" w:hAnsi="Verdana" w:cs="Arial"/>
                <w:bCs/>
                <w:color w:val="000000"/>
                <w:sz w:val="22"/>
                <w:szCs w:val="22"/>
              </w:rPr>
              <w:t xml:space="preserve">, iv) </w:t>
            </w:r>
            <w:r w:rsidRPr="009B3CA0">
              <w:rPr>
                <w:rFonts w:ascii="Verdana" w:hAnsi="Verdana" w:cs="Arial"/>
                <w:bCs/>
                <w:color w:val="000000"/>
                <w:sz w:val="22"/>
                <w:szCs w:val="22"/>
              </w:rPr>
              <w:t>constituye uno de los fines del Estado</w:t>
            </w:r>
            <w:r>
              <w:rPr>
                <w:rFonts w:ascii="Verdana" w:hAnsi="Verdana" w:cs="Arial"/>
                <w:bCs/>
                <w:color w:val="000000"/>
                <w:sz w:val="22"/>
                <w:szCs w:val="22"/>
              </w:rPr>
              <w:t xml:space="preserve">, como lo ha señalado la Corte Constitucional en providencias como la </w:t>
            </w:r>
            <w:r w:rsidRPr="009B3CA0">
              <w:rPr>
                <w:rFonts w:ascii="Verdana" w:hAnsi="Verdana" w:cs="Arial"/>
                <w:bCs/>
                <w:color w:val="000000"/>
                <w:sz w:val="22"/>
                <w:szCs w:val="22"/>
              </w:rPr>
              <w:t>sentencia C-632 de 2011 (MP Gabriel Eduardo Mendoza Martelo)</w:t>
            </w:r>
            <w:r>
              <w:rPr>
                <w:rFonts w:ascii="Verdana" w:hAnsi="Verdana" w:cs="Arial"/>
                <w:bCs/>
                <w:color w:val="000000"/>
                <w:sz w:val="22"/>
                <w:szCs w:val="22"/>
              </w:rPr>
              <w:t>, y la</w:t>
            </w:r>
            <w:r w:rsidRPr="009B3CA0">
              <w:rPr>
                <w:rFonts w:ascii="Verdana" w:hAnsi="Verdana" w:cs="Arial"/>
                <w:bCs/>
                <w:color w:val="000000"/>
                <w:sz w:val="22"/>
                <w:szCs w:val="22"/>
              </w:rPr>
              <w:t xml:space="preserve"> </w:t>
            </w:r>
            <w:r>
              <w:rPr>
                <w:rFonts w:ascii="Verdana" w:hAnsi="Verdana" w:cs="Arial"/>
                <w:bCs/>
                <w:color w:val="000000"/>
                <w:sz w:val="22"/>
                <w:szCs w:val="22"/>
              </w:rPr>
              <w:t>sentencia</w:t>
            </w:r>
            <w:r w:rsidRPr="009B3CA0">
              <w:rPr>
                <w:rFonts w:ascii="Verdana" w:hAnsi="Verdana" w:cs="Arial"/>
                <w:bCs/>
                <w:color w:val="000000"/>
                <w:sz w:val="22"/>
                <w:szCs w:val="22"/>
              </w:rPr>
              <w:t xml:space="preserve"> C-449 de 2015 (MP Jorge Iván Palacio Palacio)</w:t>
            </w:r>
            <w:r>
              <w:rPr>
                <w:rFonts w:ascii="Verdana" w:hAnsi="Verdana" w:cs="Arial"/>
                <w:bCs/>
                <w:color w:val="000000"/>
                <w:sz w:val="22"/>
                <w:szCs w:val="22"/>
              </w:rPr>
              <w:t>, entre otras.</w:t>
            </w:r>
          </w:p>
          <w:p w14:paraId="0DEBA3CB" w14:textId="77777777" w:rsidR="009B3CA0" w:rsidRDefault="009B3CA0" w:rsidP="002B0F9C">
            <w:pPr>
              <w:jc w:val="both"/>
              <w:rPr>
                <w:rFonts w:ascii="Verdana" w:hAnsi="Verdana" w:cs="Arial"/>
                <w:bCs/>
                <w:color w:val="000000"/>
                <w:sz w:val="22"/>
                <w:szCs w:val="22"/>
              </w:rPr>
            </w:pPr>
          </w:p>
          <w:p w14:paraId="16415B5F" w14:textId="265515D0" w:rsidR="009B3CA0" w:rsidRDefault="009B3CA0" w:rsidP="002B0F9C">
            <w:pPr>
              <w:jc w:val="both"/>
              <w:rPr>
                <w:rFonts w:ascii="Verdana" w:hAnsi="Verdana" w:cs="Arial"/>
                <w:bCs/>
                <w:color w:val="000000"/>
                <w:sz w:val="22"/>
                <w:szCs w:val="22"/>
              </w:rPr>
            </w:pPr>
            <w:r>
              <w:rPr>
                <w:rFonts w:ascii="Verdana" w:hAnsi="Verdana" w:cs="Arial"/>
                <w:bCs/>
                <w:color w:val="000000"/>
                <w:sz w:val="22"/>
                <w:szCs w:val="22"/>
              </w:rPr>
              <w:t xml:space="preserve">En desarrollo de estas dimensiones de protección Constitucional, en </w:t>
            </w:r>
            <w:r w:rsidRPr="009B3CA0">
              <w:rPr>
                <w:rFonts w:ascii="Verdana" w:hAnsi="Verdana" w:cs="Arial"/>
                <w:bCs/>
                <w:color w:val="000000"/>
                <w:sz w:val="22"/>
                <w:szCs w:val="22"/>
              </w:rPr>
              <w:t xml:space="preserve">el orden jurídico </w:t>
            </w:r>
            <w:r>
              <w:rPr>
                <w:rFonts w:ascii="Verdana" w:hAnsi="Verdana" w:cs="Arial"/>
                <w:bCs/>
                <w:color w:val="000000"/>
                <w:sz w:val="22"/>
                <w:szCs w:val="22"/>
              </w:rPr>
              <w:t>Colombiano</w:t>
            </w:r>
            <w:r w:rsidRPr="009B3CA0">
              <w:rPr>
                <w:rFonts w:ascii="Verdana" w:hAnsi="Verdana" w:cs="Arial"/>
                <w:bCs/>
                <w:color w:val="000000"/>
                <w:sz w:val="22"/>
                <w:szCs w:val="22"/>
              </w:rPr>
              <w:t xml:space="preserve"> se le atribuye al Estado la obligación de conservar y proteger</w:t>
            </w:r>
            <w:r>
              <w:rPr>
                <w:rFonts w:ascii="Verdana" w:hAnsi="Verdana" w:cs="Arial"/>
                <w:bCs/>
                <w:color w:val="000000"/>
                <w:sz w:val="22"/>
                <w:szCs w:val="22"/>
              </w:rPr>
              <w:t xml:space="preserve"> el ambiente</w:t>
            </w:r>
            <w:r w:rsidRPr="009B3CA0">
              <w:rPr>
                <w:rFonts w:ascii="Verdana" w:hAnsi="Verdana" w:cs="Arial"/>
                <w:bCs/>
                <w:color w:val="000000"/>
                <w:sz w:val="22"/>
                <w:szCs w:val="22"/>
              </w:rPr>
              <w:t>, procurando que el desarrollo económico y social sea compatible con las políticas que buscan salvaguardar las riquezas naturales de la Nació</w:t>
            </w:r>
            <w:r>
              <w:rPr>
                <w:rFonts w:ascii="Verdana" w:hAnsi="Verdana" w:cs="Arial"/>
                <w:bCs/>
                <w:color w:val="000000"/>
                <w:sz w:val="22"/>
                <w:szCs w:val="22"/>
              </w:rPr>
              <w:t xml:space="preserve">n, y se erige </w:t>
            </w:r>
            <w:r w:rsidRPr="009B3CA0">
              <w:rPr>
                <w:rFonts w:ascii="Verdana" w:hAnsi="Verdana" w:cs="Arial"/>
                <w:bCs/>
                <w:color w:val="000000"/>
                <w:sz w:val="22"/>
                <w:szCs w:val="22"/>
              </w:rPr>
              <w:t>como una prioridad dentro de los fines del Estado, comprometiendo la responsabilidad directa del Estado al atribuirle los deberes de prevención y control de los factores de deterioro ambiental y la adopción de medidas de protección</w:t>
            </w:r>
            <w:r>
              <w:rPr>
                <w:rFonts w:ascii="Verdana" w:hAnsi="Verdana" w:cs="Arial"/>
                <w:bCs/>
                <w:color w:val="000000"/>
                <w:sz w:val="22"/>
                <w:szCs w:val="22"/>
              </w:rPr>
              <w:t>.</w:t>
            </w:r>
          </w:p>
          <w:p w14:paraId="10EB1D8C" w14:textId="77777777" w:rsidR="009B3CA0" w:rsidRDefault="009B3CA0" w:rsidP="002B0F9C">
            <w:pPr>
              <w:jc w:val="both"/>
              <w:rPr>
                <w:rFonts w:ascii="Verdana" w:hAnsi="Verdana" w:cs="Arial"/>
                <w:bCs/>
                <w:color w:val="000000"/>
                <w:sz w:val="22"/>
                <w:szCs w:val="22"/>
              </w:rPr>
            </w:pPr>
          </w:p>
          <w:p w14:paraId="481EF462" w14:textId="6BEA339C" w:rsidR="000533A8" w:rsidRPr="002B0F9C" w:rsidRDefault="009B3CA0" w:rsidP="002B0F9C">
            <w:pPr>
              <w:jc w:val="both"/>
              <w:rPr>
                <w:rFonts w:ascii="Verdana" w:hAnsi="Verdana" w:cs="Arial"/>
                <w:bCs/>
                <w:color w:val="000000"/>
                <w:sz w:val="22"/>
                <w:szCs w:val="22"/>
              </w:rPr>
            </w:pPr>
            <w:r>
              <w:rPr>
                <w:rFonts w:ascii="Verdana" w:hAnsi="Verdana" w:cs="Arial"/>
                <w:bCs/>
                <w:color w:val="000000"/>
                <w:sz w:val="22"/>
                <w:szCs w:val="22"/>
              </w:rPr>
              <w:t>Es así como, la Constitución Política de Colombia en su</w:t>
            </w:r>
            <w:r w:rsidR="000533A8" w:rsidRPr="002B0F9C">
              <w:rPr>
                <w:rFonts w:ascii="Verdana" w:hAnsi="Verdana" w:cs="Arial"/>
                <w:bCs/>
                <w:color w:val="000000"/>
                <w:sz w:val="22"/>
                <w:szCs w:val="22"/>
              </w:rPr>
              <w:t xml:space="preserve"> artículo 63 determina que </w:t>
            </w:r>
            <w:r w:rsidR="000533A8" w:rsidRPr="002B0F9C">
              <w:rPr>
                <w:rFonts w:ascii="Verdana" w:hAnsi="Verdana" w:cs="Arial"/>
                <w:bCs/>
                <w:i/>
                <w:iCs/>
                <w:color w:val="000000"/>
                <w:sz w:val="22"/>
                <w:szCs w:val="22"/>
              </w:rPr>
              <w:t>“Los bienes de uso público, los parques naturales, las tierras comunales de grupos étnicos, las tierras de resguardo, el patrimonio arqueológico de la Nación y los demás bienes que determine la ley, son inalienables, imprescriptibles e inembargables.”</w:t>
            </w:r>
            <w:r w:rsidR="000533A8" w:rsidRPr="002B0F9C">
              <w:rPr>
                <w:rFonts w:ascii="Verdana" w:hAnsi="Verdana" w:cs="Arial"/>
                <w:bCs/>
                <w:color w:val="000000"/>
                <w:sz w:val="22"/>
                <w:szCs w:val="22"/>
              </w:rPr>
              <w:t xml:space="preserve"> </w:t>
            </w:r>
          </w:p>
          <w:p w14:paraId="66922545" w14:textId="77777777" w:rsidR="000533A8" w:rsidRPr="002B0F9C" w:rsidRDefault="000533A8" w:rsidP="002B0F9C">
            <w:pPr>
              <w:jc w:val="both"/>
              <w:rPr>
                <w:rFonts w:ascii="Verdana" w:hAnsi="Verdana" w:cs="Arial"/>
                <w:bCs/>
                <w:color w:val="000000"/>
                <w:sz w:val="22"/>
                <w:szCs w:val="22"/>
              </w:rPr>
            </w:pPr>
          </w:p>
          <w:p w14:paraId="0FACC7D3" w14:textId="2B9C49D0" w:rsidR="000533A8" w:rsidRPr="002B0F9C" w:rsidRDefault="009B3CA0">
            <w:pPr>
              <w:jc w:val="both"/>
              <w:rPr>
                <w:rFonts w:ascii="Verdana" w:hAnsi="Verdana" w:cs="Arial"/>
                <w:bCs/>
                <w:color w:val="000000"/>
                <w:sz w:val="22"/>
                <w:szCs w:val="22"/>
              </w:rPr>
            </w:pPr>
            <w:r>
              <w:rPr>
                <w:rFonts w:ascii="Verdana" w:hAnsi="Verdana" w:cs="Arial"/>
                <w:bCs/>
                <w:color w:val="000000"/>
                <w:sz w:val="22"/>
                <w:szCs w:val="22"/>
              </w:rPr>
              <w:t>En l</w:t>
            </w:r>
            <w:r w:rsidR="000533A8" w:rsidRPr="002B0F9C">
              <w:rPr>
                <w:rFonts w:ascii="Verdana" w:hAnsi="Verdana" w:cs="Arial"/>
                <w:bCs/>
                <w:color w:val="000000"/>
                <w:sz w:val="22"/>
                <w:szCs w:val="22"/>
              </w:rPr>
              <w:t xml:space="preserve">os artículos 8, 79, 80 y 95 </w:t>
            </w:r>
            <w:r>
              <w:rPr>
                <w:rFonts w:ascii="Verdana" w:hAnsi="Verdana" w:cs="Arial"/>
                <w:bCs/>
                <w:color w:val="000000"/>
                <w:sz w:val="22"/>
                <w:szCs w:val="22"/>
              </w:rPr>
              <w:t xml:space="preserve">Constitucionales se </w:t>
            </w:r>
            <w:r w:rsidR="000533A8" w:rsidRPr="002B0F9C">
              <w:rPr>
                <w:rFonts w:ascii="Verdana" w:hAnsi="Verdana" w:cs="Arial"/>
                <w:bCs/>
                <w:color w:val="000000"/>
                <w:sz w:val="22"/>
                <w:szCs w:val="22"/>
              </w:rPr>
              <w:t xml:space="preserve">consagra como obligación del Estado y como correlativo deber de las personas proteger la diversidad y las riquezas culturales y naturales de la Nación, la integridad del ambiente y conservar las áreas de especial importancia ecológica. </w:t>
            </w:r>
          </w:p>
          <w:p w14:paraId="727A9183" w14:textId="77777777" w:rsidR="000533A8" w:rsidRPr="002B0F9C" w:rsidRDefault="000533A8">
            <w:pPr>
              <w:jc w:val="both"/>
              <w:rPr>
                <w:rFonts w:ascii="Verdana" w:hAnsi="Verdana" w:cs="Arial"/>
                <w:bCs/>
                <w:color w:val="000000"/>
                <w:sz w:val="22"/>
                <w:szCs w:val="22"/>
              </w:rPr>
            </w:pPr>
          </w:p>
          <w:p w14:paraId="632D40B4" w14:textId="75A7FD74"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El artículo 58 ibidem garantiza la propiedad privada y los demás derechos adquiridos con arreglo a las leyes civiles, y establece que, cuando de la aplicación de una ley expedida por motivos de utilidad pública o interés social</w:t>
            </w:r>
            <w:r w:rsidR="00AA15B0" w:rsidRPr="002B0F9C">
              <w:rPr>
                <w:rFonts w:ascii="Verdana" w:hAnsi="Verdana" w:cs="Arial"/>
                <w:bCs/>
                <w:color w:val="000000"/>
                <w:sz w:val="22"/>
                <w:szCs w:val="22"/>
              </w:rPr>
              <w:t xml:space="preserve">, </w:t>
            </w:r>
            <w:r w:rsidRPr="002B0F9C">
              <w:rPr>
                <w:rFonts w:ascii="Verdana" w:hAnsi="Verdana" w:cs="Arial"/>
                <w:bCs/>
                <w:color w:val="000000"/>
                <w:sz w:val="22"/>
                <w:szCs w:val="22"/>
              </w:rPr>
              <w:t xml:space="preserve"> resultaren en conflicto los derechos de los particulares con la necesidad por ella reconocida, el interés privado deberá ceder al interés público o social, atribuyéndole a la propiedad privada una función social a la que es inherente una función ecológica. </w:t>
            </w:r>
          </w:p>
          <w:p w14:paraId="232AE156" w14:textId="1373AA26" w:rsidR="000533A8" w:rsidRPr="002B0F9C" w:rsidRDefault="00AA15B0">
            <w:pPr>
              <w:jc w:val="both"/>
              <w:rPr>
                <w:rFonts w:ascii="Verdana" w:hAnsi="Verdana" w:cs="Arial"/>
                <w:bCs/>
                <w:color w:val="000000"/>
                <w:sz w:val="22"/>
                <w:szCs w:val="22"/>
              </w:rPr>
            </w:pPr>
            <w:r w:rsidRPr="002B0F9C">
              <w:rPr>
                <w:rFonts w:ascii="Verdana" w:hAnsi="Verdana" w:cs="Arial"/>
                <w:bCs/>
                <w:color w:val="000000"/>
                <w:sz w:val="22"/>
                <w:szCs w:val="22"/>
              </w:rPr>
              <w:t xml:space="preserve">   </w:t>
            </w:r>
          </w:p>
          <w:p w14:paraId="3F137656" w14:textId="46C1CC15" w:rsidR="000533A8" w:rsidRPr="002B0F9C" w:rsidRDefault="009B3CA0">
            <w:pPr>
              <w:jc w:val="both"/>
              <w:rPr>
                <w:rFonts w:ascii="Verdana" w:hAnsi="Verdana" w:cs="Arial"/>
                <w:bCs/>
                <w:color w:val="000000"/>
                <w:sz w:val="22"/>
                <w:szCs w:val="22"/>
              </w:rPr>
            </w:pPr>
            <w:r>
              <w:rPr>
                <w:rFonts w:ascii="Verdana" w:hAnsi="Verdana" w:cs="Arial"/>
                <w:bCs/>
                <w:color w:val="000000"/>
                <w:sz w:val="22"/>
                <w:szCs w:val="22"/>
              </w:rPr>
              <w:t>En el mismo sentido, c</w:t>
            </w:r>
            <w:r w:rsidR="000533A8" w:rsidRPr="002B0F9C">
              <w:rPr>
                <w:rFonts w:ascii="Verdana" w:hAnsi="Verdana" w:cs="Arial"/>
                <w:bCs/>
                <w:color w:val="000000"/>
                <w:sz w:val="22"/>
                <w:szCs w:val="22"/>
              </w:rPr>
              <w:t xml:space="preserve">on el propósito de conservar la flora y fauna nacionales, la Ley 2 de 1959, declaró de utilidad pública las zonas reservadas y delimitadas como </w:t>
            </w:r>
            <w:r w:rsidR="000533A8" w:rsidRPr="002B0F9C">
              <w:rPr>
                <w:rFonts w:ascii="Verdana" w:hAnsi="Verdana" w:cs="Arial"/>
                <w:bCs/>
                <w:i/>
                <w:iCs/>
                <w:color w:val="000000"/>
                <w:sz w:val="22"/>
                <w:szCs w:val="22"/>
              </w:rPr>
              <w:t>"Parques Nacionales Naturales”,</w:t>
            </w:r>
            <w:r w:rsidR="000533A8" w:rsidRPr="002B0F9C">
              <w:rPr>
                <w:rFonts w:ascii="Verdana" w:hAnsi="Verdana" w:cs="Arial"/>
                <w:bCs/>
                <w:color w:val="000000"/>
                <w:sz w:val="22"/>
                <w:szCs w:val="22"/>
              </w:rPr>
              <w:t xml:space="preserve"> en las cuales quedó prohibida la adjudicación de baldíos, la venta</w:t>
            </w:r>
            <w:r>
              <w:rPr>
                <w:rFonts w:ascii="Verdana" w:hAnsi="Verdana" w:cs="Arial"/>
                <w:bCs/>
                <w:color w:val="000000"/>
                <w:sz w:val="22"/>
                <w:szCs w:val="22"/>
              </w:rPr>
              <w:t xml:space="preserve"> </w:t>
            </w:r>
            <w:r w:rsidR="000533A8" w:rsidRPr="002B0F9C">
              <w:rPr>
                <w:rFonts w:ascii="Verdana" w:hAnsi="Verdana" w:cs="Arial"/>
                <w:bCs/>
                <w:color w:val="000000"/>
                <w:sz w:val="22"/>
                <w:szCs w:val="22"/>
              </w:rPr>
              <w:t xml:space="preserve">de tierras, la caza, la pesca, y toda actividad industrial, ganadera o agrícola, distinta a la del turismo o aquellas que </w:t>
            </w:r>
            <w:r w:rsidR="000533A8" w:rsidRPr="002B0F9C">
              <w:rPr>
                <w:rFonts w:ascii="Verdana" w:hAnsi="Verdana" w:cs="Arial"/>
                <w:bCs/>
                <w:color w:val="000000"/>
                <w:sz w:val="22"/>
                <w:szCs w:val="22"/>
              </w:rPr>
              <w:lastRenderedPageBreak/>
              <w:t>el Gobierno Nacional considere convenientes para la conservación (artículo 13); igualmente posibilitó como una atribución facultativa que el gobierno pudiera expropiar las tierras o mejoras de particulares que en ellas existan (artículo 14).</w:t>
            </w:r>
          </w:p>
          <w:p w14:paraId="68AF8FC4" w14:textId="77777777" w:rsidR="000533A8" w:rsidRPr="002B0F9C" w:rsidRDefault="000533A8">
            <w:pPr>
              <w:jc w:val="both"/>
              <w:rPr>
                <w:rFonts w:ascii="Verdana" w:hAnsi="Verdana" w:cs="Arial"/>
                <w:bCs/>
                <w:color w:val="000000"/>
                <w:sz w:val="22"/>
                <w:szCs w:val="22"/>
              </w:rPr>
            </w:pPr>
          </w:p>
          <w:p w14:paraId="322B39D5" w14:textId="77777777"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El artículo 1° del Decreto Ley 2811 de 1974, que adopta el Código Nacional de Recursos Naturales Renovables y de Protección al Medio Ambiente, establece que el Ambiente es patrimonio común, por lo que el Estado y los particulares deben participar de manera concurrente en su preservación y manejo, las cuales son de utilidad pública e interés social.</w:t>
            </w:r>
          </w:p>
          <w:p w14:paraId="3F565BDF" w14:textId="77777777" w:rsidR="000533A8" w:rsidRPr="002B0F9C" w:rsidRDefault="000533A8">
            <w:pPr>
              <w:jc w:val="both"/>
              <w:rPr>
                <w:rFonts w:ascii="Verdana" w:hAnsi="Verdana" w:cs="Arial"/>
                <w:bCs/>
                <w:color w:val="000000"/>
                <w:sz w:val="22"/>
                <w:szCs w:val="22"/>
              </w:rPr>
            </w:pPr>
          </w:p>
          <w:p w14:paraId="6F0F5C64" w14:textId="77777777"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El artículo 327 del mismo Decreto define el Sistema de Parques Nacionales Naturales como el conjunto de áreas con valores excepcionales para el patrimonio nacional que, en beneficio de los habitantes de la nación y debido a sus características naturales, culturales o históricas, se reservan y declaran comprendidas en cualquiera de las categorías que se precisan en el artículo 329, así:</w:t>
            </w:r>
          </w:p>
          <w:p w14:paraId="3B585520" w14:textId="77777777" w:rsidR="000533A8" w:rsidRPr="002B0F9C" w:rsidRDefault="000533A8">
            <w:pPr>
              <w:jc w:val="both"/>
              <w:rPr>
                <w:rFonts w:ascii="Verdana" w:hAnsi="Verdana" w:cs="Arial"/>
                <w:bCs/>
                <w:color w:val="000000"/>
                <w:sz w:val="22"/>
                <w:szCs w:val="22"/>
              </w:rPr>
            </w:pPr>
          </w:p>
          <w:p w14:paraId="46C67C93"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 xml:space="preserve">“a) Parque nacional: área de extensión que permita su autorregulación ecológica y cuyos ecosistemas en general no han sido alterados sustancialmente por la explotación u ocupación humana, y donde las especies vegetales y animales, complejos geomorfológicos y manifestaciones históricas o culturales tienen valor científico, educativo, estético y recreativo nacional y para su perpetuación se somete a un régimen adecuado de manejo; </w:t>
            </w:r>
          </w:p>
          <w:p w14:paraId="47A5E5F9" w14:textId="77777777" w:rsidR="000533A8" w:rsidRPr="009B3CA0" w:rsidRDefault="000533A8" w:rsidP="009B3CA0">
            <w:pPr>
              <w:ind w:left="541" w:right="410"/>
              <w:jc w:val="both"/>
              <w:rPr>
                <w:rFonts w:ascii="Verdana" w:hAnsi="Verdana" w:cs="Arial"/>
                <w:bCs/>
                <w:i/>
                <w:iCs/>
                <w:color w:val="000000"/>
              </w:rPr>
            </w:pPr>
          </w:p>
          <w:p w14:paraId="427461BD"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 xml:space="preserve">b) Reserva natural: área en la cual existen condiciones primitivas de flora, fauna y gea, y está destinada a la conservación, investigación y estudio de sus riquezas naturales; </w:t>
            </w:r>
          </w:p>
          <w:p w14:paraId="05D6792A" w14:textId="77777777" w:rsidR="000533A8" w:rsidRPr="009B3CA0" w:rsidRDefault="000533A8" w:rsidP="009B3CA0">
            <w:pPr>
              <w:ind w:left="541" w:right="410"/>
              <w:jc w:val="both"/>
              <w:rPr>
                <w:rFonts w:ascii="Verdana" w:hAnsi="Verdana" w:cs="Arial"/>
                <w:bCs/>
                <w:i/>
                <w:iCs/>
                <w:color w:val="000000"/>
              </w:rPr>
            </w:pPr>
          </w:p>
          <w:p w14:paraId="0FF2EA25"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 xml:space="preserve">c) Área natural única: área que, por poseer condiciones especiales de flora o gea es escenario natural raro; </w:t>
            </w:r>
          </w:p>
          <w:p w14:paraId="750D5585" w14:textId="77777777" w:rsidR="000533A8" w:rsidRPr="009B3CA0" w:rsidRDefault="000533A8" w:rsidP="009B3CA0">
            <w:pPr>
              <w:ind w:left="541" w:right="410"/>
              <w:jc w:val="both"/>
              <w:rPr>
                <w:rFonts w:ascii="Verdana" w:hAnsi="Verdana" w:cs="Arial"/>
                <w:bCs/>
                <w:i/>
                <w:iCs/>
                <w:color w:val="000000"/>
              </w:rPr>
            </w:pPr>
          </w:p>
          <w:p w14:paraId="1B96C57B"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 xml:space="preserve">d) Santuario de flora: área dedicada a preservar especies o comunidades vegetales para conservar recursos genéticos de la flora nacional; </w:t>
            </w:r>
          </w:p>
          <w:p w14:paraId="0222C466" w14:textId="77777777" w:rsidR="000533A8" w:rsidRPr="009B3CA0" w:rsidRDefault="000533A8" w:rsidP="009B3CA0">
            <w:pPr>
              <w:ind w:left="541" w:right="410"/>
              <w:jc w:val="both"/>
              <w:rPr>
                <w:rFonts w:ascii="Verdana" w:hAnsi="Verdana" w:cs="Arial"/>
                <w:bCs/>
                <w:i/>
                <w:iCs/>
                <w:color w:val="000000"/>
              </w:rPr>
            </w:pPr>
          </w:p>
          <w:p w14:paraId="0AD51FD3"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 xml:space="preserve">e) Santuario de fauna: área dedicada a preservar especies o comunidades de animales silvestres, para conservar recursos genéticos de la fauna nacional; </w:t>
            </w:r>
          </w:p>
          <w:p w14:paraId="2D329FEC" w14:textId="77777777" w:rsidR="000533A8" w:rsidRPr="009B3CA0" w:rsidRDefault="000533A8" w:rsidP="009B3CA0">
            <w:pPr>
              <w:ind w:left="541" w:right="410"/>
              <w:jc w:val="both"/>
              <w:rPr>
                <w:rFonts w:ascii="Verdana" w:hAnsi="Verdana" w:cs="Arial"/>
                <w:bCs/>
                <w:i/>
                <w:iCs/>
                <w:color w:val="000000"/>
              </w:rPr>
            </w:pPr>
          </w:p>
          <w:p w14:paraId="0A2DE909" w14:textId="77777777" w:rsidR="000533A8" w:rsidRPr="009B3CA0" w:rsidRDefault="000533A8" w:rsidP="009B3CA0">
            <w:pPr>
              <w:ind w:left="541" w:right="410"/>
              <w:jc w:val="both"/>
              <w:rPr>
                <w:rFonts w:ascii="Verdana" w:hAnsi="Verdana" w:cs="Arial"/>
                <w:bCs/>
                <w:i/>
                <w:iCs/>
                <w:color w:val="000000"/>
              </w:rPr>
            </w:pPr>
            <w:r w:rsidRPr="009B3CA0">
              <w:rPr>
                <w:rFonts w:ascii="Verdana" w:hAnsi="Verdana" w:cs="Arial"/>
                <w:bCs/>
                <w:i/>
                <w:iCs/>
                <w:color w:val="000000"/>
              </w:rPr>
              <w:t>f) Vía parque: faja de terreno con carretera, que posee bellezas panorámicas singulares o valores naturales o culturales, conservada para fines de educación y esparcimiento.”.</w:t>
            </w:r>
          </w:p>
          <w:p w14:paraId="1E51AD5D" w14:textId="77777777" w:rsidR="000533A8" w:rsidRPr="002B0F9C" w:rsidRDefault="000533A8" w:rsidP="002B0F9C">
            <w:pPr>
              <w:jc w:val="both"/>
              <w:rPr>
                <w:rFonts w:ascii="Verdana" w:hAnsi="Verdana" w:cs="Arial"/>
                <w:bCs/>
                <w:color w:val="000000"/>
                <w:sz w:val="22"/>
                <w:szCs w:val="22"/>
              </w:rPr>
            </w:pPr>
          </w:p>
          <w:p w14:paraId="3E7495A0" w14:textId="13BF2EE1"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La Corte Constitucional ha reconocido, entre otras providencias, en la Sentencia C-746 de 2012, la singularidad, la especialidad y la protección especial que deben tener las áreas protegidas del Sistema de Parques Nacionales:</w:t>
            </w:r>
          </w:p>
          <w:p w14:paraId="199CEC3D" w14:textId="77777777" w:rsidR="000533A8" w:rsidRPr="002B0F9C" w:rsidRDefault="000533A8">
            <w:pPr>
              <w:jc w:val="both"/>
              <w:rPr>
                <w:rFonts w:ascii="Verdana" w:hAnsi="Verdana" w:cs="Arial"/>
                <w:bCs/>
                <w:color w:val="000000"/>
                <w:sz w:val="22"/>
                <w:szCs w:val="22"/>
              </w:rPr>
            </w:pPr>
          </w:p>
          <w:p w14:paraId="341F9882" w14:textId="77777777" w:rsidR="000533A8" w:rsidRPr="009B3CA0" w:rsidRDefault="000533A8">
            <w:pPr>
              <w:ind w:left="708" w:right="428"/>
              <w:jc w:val="both"/>
              <w:rPr>
                <w:rFonts w:ascii="Verdana" w:hAnsi="Verdana" w:cs="Arial"/>
                <w:bCs/>
                <w:i/>
                <w:iCs/>
                <w:color w:val="000000"/>
              </w:rPr>
            </w:pPr>
            <w:r w:rsidRPr="009B3CA0">
              <w:rPr>
                <w:rFonts w:ascii="Verdana" w:hAnsi="Verdana" w:cs="Arial"/>
                <w:bCs/>
                <w:i/>
                <w:iCs/>
                <w:color w:val="000000"/>
              </w:rPr>
              <w:t xml:space="preserve">“(…) El Sistema de Parques Nacionales Naturales es un conjunto de áreas de diverso tipo: (i) que tiene un valor excepcional y que se reserva en beneficio de los habitantes del territorio colombiano y de la humanidad; (ii) que representa características y condiciones especiales y sus componentes han sido clasificados atendiendo la siguiente tipología: parque nacional, reserva natural, área natural única, santuario de fauna, santuario de flora y vía parque (Decreto 2811/1974 art. 329), cada una con un régimen de manejo particular según sus </w:t>
            </w:r>
            <w:r w:rsidRPr="009B3CA0">
              <w:rPr>
                <w:rFonts w:ascii="Verdana" w:hAnsi="Verdana" w:cs="Arial"/>
                <w:bCs/>
                <w:i/>
                <w:iCs/>
                <w:color w:val="000000"/>
              </w:rPr>
              <w:lastRenderedPageBreak/>
              <w:t>características especiales; (iii) cuyos componentes son reservados y delimitados por la autoridad nacional competente, y su administración y manejo corresponde a la Unidad Administrativa Especial del Sistema de Parques Nacionales Naturales (Decreto 2371/2010 art. 11); (iv) que está protegido de forma especial por la Constitución en los artículos 8, 63, 79 y 80 y por los tratados internacionales, en especial el Convenio sobre la diversidad biológica aprobado en la Ley 165 de 1994; (v) que se encuentra sometido a un régimen jurídico propio acorde con las finalidades específicas de conservación y protección, y en el que las únicas actividades permitidas son conservación, investigación, educación, recreación pasiva, cultura, y recuperación y control (Decreto 2811/1974 art. 332); (vi) cuyos componentes tienen el carácter de inembargables, imprescriptibles e inalienables; (viii) que desde una perspectiva macro-ecológica es entendido como un factor imprescindible del desarrollo sostenible, en tanto presta servicios ambientales de primer orden, sirve para proteger la biodiversidad y para atenuar los efectos del calentamiento global (…)” (Resaltado fuera del texto original).</w:t>
            </w:r>
          </w:p>
          <w:p w14:paraId="3B2A7D7B" w14:textId="77777777" w:rsidR="000533A8" w:rsidRPr="002B0F9C" w:rsidRDefault="000533A8">
            <w:pPr>
              <w:jc w:val="both"/>
              <w:rPr>
                <w:rFonts w:ascii="Verdana" w:hAnsi="Verdana" w:cs="Arial"/>
                <w:bCs/>
                <w:color w:val="000000"/>
                <w:sz w:val="22"/>
                <w:szCs w:val="22"/>
              </w:rPr>
            </w:pPr>
          </w:p>
          <w:p w14:paraId="681CB1BF" w14:textId="2ECBAFFA"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El Decreto Ley 3572 del 27 de septiembre de 2011 creó la Unidad Administrativa Especial de Parques Nacionales Naturales como una entidad estatal del orden nacional, adscrita al Sector Ambiente y Desarrollo Sostenible, con autonomía administrativa y financiera, con jurisdicción en todo el territorio nacional, encargada de la administración y el manejo del Sistema de Parques Nacionales Naturales y la coordinación del Sistema Nacional de Áreas Protegidas -SINAP-.</w:t>
            </w:r>
          </w:p>
          <w:p w14:paraId="2FDBD2F7" w14:textId="77777777" w:rsidR="000533A8" w:rsidRPr="002B0F9C" w:rsidRDefault="000533A8">
            <w:pPr>
              <w:jc w:val="both"/>
              <w:rPr>
                <w:rFonts w:ascii="Verdana" w:hAnsi="Verdana" w:cs="Arial"/>
                <w:bCs/>
                <w:color w:val="000000"/>
                <w:sz w:val="22"/>
                <w:szCs w:val="22"/>
              </w:rPr>
            </w:pPr>
          </w:p>
          <w:p w14:paraId="1F391AC2" w14:textId="77777777" w:rsidR="000533A8" w:rsidRPr="002B0F9C" w:rsidRDefault="000533A8">
            <w:pPr>
              <w:jc w:val="both"/>
              <w:rPr>
                <w:rFonts w:ascii="Verdana" w:hAnsi="Verdana" w:cs="Arial"/>
                <w:bCs/>
                <w:color w:val="000000"/>
                <w:sz w:val="22"/>
                <w:szCs w:val="22"/>
              </w:rPr>
            </w:pPr>
            <w:r w:rsidRPr="002B0F9C">
              <w:rPr>
                <w:rFonts w:ascii="Verdana" w:hAnsi="Verdana" w:cs="Arial"/>
                <w:bCs/>
                <w:color w:val="000000"/>
                <w:sz w:val="22"/>
                <w:szCs w:val="22"/>
              </w:rPr>
              <w:t xml:space="preserve">La Unidad Administrativa Especial de Parques Nacionales Naturales de Colombia hace presencia permanente en los distintos sectores de las áreas protegidas, con procesos sociales orientados hacia la restauración ecológica y a la reducción de presiones identificadas sobre los valores objeto de conservación que se protegen, en articulación con entes competentes y actores sociales, que mejoran la gobernabilidad requerida para su administración y manejo. </w:t>
            </w:r>
          </w:p>
          <w:p w14:paraId="6CC453D3" w14:textId="77777777" w:rsidR="000533A8" w:rsidRPr="002B0F9C" w:rsidRDefault="000533A8">
            <w:pPr>
              <w:jc w:val="both"/>
              <w:rPr>
                <w:rFonts w:ascii="Verdana" w:hAnsi="Verdana" w:cs="Arial"/>
                <w:bCs/>
                <w:color w:val="000000"/>
                <w:sz w:val="22"/>
                <w:szCs w:val="22"/>
              </w:rPr>
            </w:pPr>
          </w:p>
          <w:p w14:paraId="42D0AD34" w14:textId="28761AC6" w:rsidR="000533A8" w:rsidRDefault="000533A8">
            <w:pPr>
              <w:jc w:val="both"/>
              <w:rPr>
                <w:rFonts w:ascii="Verdana" w:hAnsi="Verdana" w:cs="Arial"/>
                <w:bCs/>
                <w:color w:val="000000"/>
                <w:sz w:val="22"/>
                <w:szCs w:val="22"/>
              </w:rPr>
            </w:pPr>
            <w:r w:rsidRPr="002B0F9C">
              <w:rPr>
                <w:rFonts w:ascii="Verdana" w:hAnsi="Verdana" w:cs="Arial"/>
                <w:bCs/>
                <w:color w:val="000000"/>
                <w:sz w:val="22"/>
                <w:szCs w:val="22"/>
              </w:rPr>
              <w:t xml:space="preserve">En cumplimiento de su función institucional, para lograr la protección, conservación, perpetuación y mantenimiento de las áreas protegidas que integran el Sistema de Parques Nacionales Naturales, esta entidad desarrolla diversas actividades, dentro de las que se encuentran </w:t>
            </w:r>
            <w:r w:rsidR="009B3CA0">
              <w:rPr>
                <w:rFonts w:ascii="Verdana" w:hAnsi="Verdana" w:cs="Arial"/>
                <w:bCs/>
                <w:color w:val="000000"/>
                <w:sz w:val="22"/>
                <w:szCs w:val="22"/>
              </w:rPr>
              <w:t>las acciones de saneamiento y regularización de la propiedad</w:t>
            </w:r>
            <w:r w:rsidRPr="002B0F9C">
              <w:rPr>
                <w:rFonts w:ascii="Verdana" w:hAnsi="Verdana" w:cs="Arial"/>
                <w:bCs/>
                <w:color w:val="000000"/>
                <w:sz w:val="22"/>
                <w:szCs w:val="22"/>
              </w:rPr>
              <w:t xml:space="preserve">. </w:t>
            </w:r>
          </w:p>
          <w:p w14:paraId="2946A02A" w14:textId="77777777" w:rsidR="009B3CA0" w:rsidRDefault="009B3CA0">
            <w:pPr>
              <w:jc w:val="both"/>
              <w:rPr>
                <w:rFonts w:ascii="Verdana" w:hAnsi="Verdana" w:cs="Arial"/>
                <w:bCs/>
                <w:color w:val="000000"/>
                <w:sz w:val="22"/>
                <w:szCs w:val="22"/>
              </w:rPr>
            </w:pPr>
          </w:p>
          <w:p w14:paraId="7AB677DA" w14:textId="77777777" w:rsidR="00867FF3" w:rsidRDefault="009B3CA0" w:rsidP="009B3CA0">
            <w:pPr>
              <w:jc w:val="both"/>
              <w:rPr>
                <w:rFonts w:ascii="Verdana" w:hAnsi="Verdana" w:cs="Arial"/>
                <w:bCs/>
                <w:iCs/>
                <w:color w:val="000000"/>
                <w:sz w:val="22"/>
                <w:szCs w:val="22"/>
                <w:lang w:val="es-CO"/>
              </w:rPr>
            </w:pPr>
            <w:r>
              <w:rPr>
                <w:rFonts w:ascii="Verdana" w:hAnsi="Verdana" w:cs="Arial"/>
                <w:bCs/>
                <w:color w:val="000000"/>
                <w:sz w:val="22"/>
                <w:szCs w:val="22"/>
              </w:rPr>
              <w:t xml:space="preserve">Como una medida de dinamización del saneamiento predial en las áreas protegida, </w:t>
            </w:r>
            <w:r>
              <w:rPr>
                <w:rFonts w:ascii="Verdana" w:hAnsi="Verdana" w:cs="Arial"/>
                <w:bCs/>
                <w:iCs/>
                <w:color w:val="000000"/>
                <w:sz w:val="22"/>
                <w:szCs w:val="22"/>
                <w:lang w:val="es-CO"/>
              </w:rPr>
              <w:t>e</w:t>
            </w:r>
            <w:r w:rsidRPr="002B0F9C">
              <w:rPr>
                <w:rFonts w:ascii="Verdana" w:hAnsi="Verdana" w:cs="Arial"/>
                <w:bCs/>
                <w:iCs/>
                <w:color w:val="000000"/>
                <w:sz w:val="22"/>
                <w:szCs w:val="22"/>
                <w:lang w:val="es-CO"/>
              </w:rPr>
              <w:t xml:space="preserve">l artículo 8° de la Ley 1955 de 2019 priorizó la adquisición de mejoras como uno de los mecanismos para lograr el saneamiento de las áreas que componen el Sistema de Parques Nacionales Naturales de Colombia, disponiendo que Parques Nacionales Naturales de Colombia u otra entidad pública podrán reconocer mejoras realizadas al interior de dichas áreas, de conformidad con la reglamentación que se expida para el efecto y siempre que se cumplan las condiciones previstas en la citada disposición. </w:t>
            </w:r>
          </w:p>
          <w:p w14:paraId="1790271F" w14:textId="77777777" w:rsidR="00867FF3" w:rsidRDefault="00867FF3" w:rsidP="009B3CA0">
            <w:pPr>
              <w:jc w:val="both"/>
              <w:rPr>
                <w:rFonts w:ascii="Verdana" w:hAnsi="Verdana" w:cs="Arial"/>
                <w:bCs/>
                <w:iCs/>
                <w:color w:val="000000"/>
                <w:sz w:val="22"/>
                <w:szCs w:val="22"/>
                <w:lang w:val="es-CO"/>
              </w:rPr>
            </w:pPr>
          </w:p>
          <w:p w14:paraId="66AD8D33" w14:textId="4520D4CA" w:rsidR="009B3CA0" w:rsidRPr="002B0F9C" w:rsidRDefault="009B3CA0" w:rsidP="009B3CA0">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Así mismo, estableció que para proceder al reconocimiento y pago de las indemnizaciones o mejoras será indispensable contar con la correspondiente disponibilidad presupuestal.</w:t>
            </w:r>
          </w:p>
          <w:p w14:paraId="5A917EED" w14:textId="77777777" w:rsidR="000533A8" w:rsidRPr="002B0F9C" w:rsidRDefault="000533A8">
            <w:pPr>
              <w:jc w:val="both"/>
              <w:rPr>
                <w:rFonts w:ascii="Verdana" w:hAnsi="Verdana" w:cs="Arial"/>
                <w:bCs/>
                <w:color w:val="000000"/>
                <w:sz w:val="22"/>
                <w:szCs w:val="22"/>
              </w:rPr>
            </w:pPr>
          </w:p>
          <w:p w14:paraId="219FA746" w14:textId="3A6B0F52" w:rsidR="000533A8" w:rsidRPr="000A5B8E" w:rsidRDefault="009B3CA0">
            <w:pPr>
              <w:jc w:val="both"/>
              <w:rPr>
                <w:rFonts w:ascii="Verdana" w:hAnsi="Verdana" w:cs="Arial"/>
                <w:bCs/>
                <w:color w:val="000000"/>
                <w:sz w:val="22"/>
                <w:szCs w:val="22"/>
              </w:rPr>
            </w:pPr>
            <w:r w:rsidRPr="002B0F9C">
              <w:rPr>
                <w:rFonts w:ascii="Verdana" w:hAnsi="Verdana" w:cs="Arial"/>
                <w:bCs/>
                <w:iCs/>
                <w:color w:val="000000"/>
                <w:sz w:val="22"/>
                <w:szCs w:val="22"/>
                <w:lang w:val="es-CO"/>
              </w:rPr>
              <w:t xml:space="preserve">En desarrollo de estas competencias, la Unidad Administrativa Especial de Parques Nacionales Naturales de Colombia adelanta procesos de adquisición de predios y mejoras como una </w:t>
            </w:r>
            <w:r w:rsidRPr="002B0F9C">
              <w:rPr>
                <w:rFonts w:ascii="Verdana" w:hAnsi="Verdana" w:cs="Arial"/>
                <w:bCs/>
                <w:iCs/>
                <w:color w:val="000000"/>
                <w:sz w:val="22"/>
                <w:szCs w:val="22"/>
                <w:lang w:val="es-CO"/>
              </w:rPr>
              <w:lastRenderedPageBreak/>
              <w:t xml:space="preserve">herramienta esencial para el saneamiento predial, </w:t>
            </w:r>
            <w:r w:rsidRPr="002B0F9C">
              <w:rPr>
                <w:rFonts w:ascii="Verdana" w:hAnsi="Verdana" w:cs="Arial"/>
                <w:bCs/>
                <w:color w:val="000000"/>
                <w:sz w:val="22"/>
                <w:szCs w:val="22"/>
              </w:rPr>
              <w:t>que contribuye a la regularización de las áreas protegidas del Sistema de Parques Nacionales Naturales, en tanto permite superar las conflictividades que se evidencian por las limitaciones legales en el uso y tenencia de tierras, garantiza la protección de la biodiversidad, de los servicios ecosistémicos que soportan las dinámicas social, económica y cultural de la humanidad, contribuye a la mitigación de las presiones existentes sobre las áreas protegidas y favorece la recuperación de ecosistemas degradados y de especies amenazadas</w:t>
            </w:r>
            <w:r>
              <w:rPr>
                <w:rFonts w:ascii="Verdana" w:hAnsi="Verdana" w:cs="Arial"/>
                <w:bCs/>
                <w:color w:val="000000"/>
                <w:sz w:val="22"/>
                <w:szCs w:val="22"/>
              </w:rPr>
              <w:t>, propendiendo por</w:t>
            </w:r>
            <w:r w:rsidRPr="002B0F9C">
              <w:rPr>
                <w:rFonts w:ascii="Verdana" w:hAnsi="Verdana" w:cs="Arial"/>
                <w:bCs/>
                <w:iCs/>
                <w:color w:val="000000"/>
                <w:sz w:val="22"/>
                <w:szCs w:val="22"/>
                <w:lang w:val="es-CO"/>
              </w:rPr>
              <w:t xml:space="preserve"> la consolidación de la función ecológica de la propiedad al interior de las áreas protegidas. </w:t>
            </w:r>
          </w:p>
          <w:p w14:paraId="3089CAF9" w14:textId="77777777" w:rsidR="005354B6" w:rsidRPr="002B0F9C" w:rsidRDefault="005354B6">
            <w:pPr>
              <w:jc w:val="both"/>
              <w:rPr>
                <w:rFonts w:ascii="Verdana" w:hAnsi="Verdana" w:cs="Arial"/>
                <w:bCs/>
                <w:iCs/>
                <w:color w:val="000000"/>
                <w:sz w:val="22"/>
                <w:szCs w:val="22"/>
                <w:lang w:val="es-CO"/>
              </w:rPr>
            </w:pPr>
          </w:p>
          <w:p w14:paraId="789E728A" w14:textId="77777777" w:rsidR="005354B6" w:rsidRPr="002B0F9C"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La adquisición de predios y mejoras constituye, además, un instrumento fundamental para el cumplimiento de decisiones judiciales orientadas a garantizar la protección efectiva de las áreas protegidas que integran el Sistema de Parques Nacionales Naturales de Colombia. En este contexto, la Sala de Casación Civil y Agraria de la Corte Suprema de Justicia, mediante la Sentencia STC 3872 del 18 de junio de 2020, declaró a la Vía Parque Isla de Salamanca como sujeto de derechos y ordenó a la Presidencia de la República, al Ministerio de Ambiente y Desarrollo Sostenible, a Parques Nacionales Naturales de Colombia y a las demás entidades competentes formular e implementar un plan estratégico dirigido a reducir la deforestación y la degradación ambiental presentes en esta área protegida.</w:t>
            </w:r>
          </w:p>
          <w:p w14:paraId="30582FBD" w14:textId="77777777" w:rsidR="005354B6" w:rsidRPr="002B0F9C" w:rsidRDefault="005354B6">
            <w:pPr>
              <w:jc w:val="both"/>
              <w:rPr>
                <w:rFonts w:ascii="Verdana" w:hAnsi="Verdana" w:cs="Arial"/>
                <w:bCs/>
                <w:iCs/>
                <w:color w:val="000000"/>
                <w:sz w:val="22"/>
                <w:szCs w:val="22"/>
                <w:lang w:val="es-CO"/>
              </w:rPr>
            </w:pPr>
          </w:p>
          <w:p w14:paraId="719D0CF1" w14:textId="77777777" w:rsidR="005354B6" w:rsidRPr="002B0F9C"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Dentro de las acciones contempladas en dicho plan se incluyó la clarificación y saneamiento de la propiedad al interior del área protegida, comprendiendo actividades relacionadas con la adquisición de predios y mejoras, la identificación de bienes baldíos, la recuperación de ocupaciones indebidas y la implementación de instrumentos de gestión predial que permitan fortalecer la gobernanza ambiental y garantizar la conservación efectiva de los ecosistemas protegidos.</w:t>
            </w:r>
          </w:p>
          <w:p w14:paraId="372B1310" w14:textId="77777777" w:rsidR="005354B6" w:rsidRPr="002B0F9C" w:rsidRDefault="005354B6">
            <w:pPr>
              <w:jc w:val="both"/>
              <w:rPr>
                <w:rFonts w:ascii="Verdana" w:hAnsi="Verdana" w:cs="Arial"/>
                <w:bCs/>
                <w:iCs/>
                <w:color w:val="000000"/>
                <w:sz w:val="22"/>
                <w:szCs w:val="22"/>
                <w:lang w:val="es-CO"/>
              </w:rPr>
            </w:pPr>
          </w:p>
          <w:p w14:paraId="310680A6" w14:textId="77777777" w:rsidR="005354B6" w:rsidRPr="002B0F9C"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La experiencia institucional derivada de la implementación de estas acciones ha permitido evidenciar que los procesos de adquisición predial y de mejoras al interior de las áreas protegidas requieren tiempos superiores a los previstos en los esquemas ordinarios de negociación, debido a la complejidad jurídica de los inmuebles, la necesidad de coordinación interinstitucional, la disponibilidad presupuestal, los trámites registrales y catastrales, así como la gestión social necesaria para garantizar la participación de las comunidades y ocupantes involucrados.</w:t>
            </w:r>
          </w:p>
          <w:p w14:paraId="7CFCB0AF" w14:textId="77777777" w:rsidR="005354B6" w:rsidRPr="002B0F9C" w:rsidRDefault="005354B6">
            <w:pPr>
              <w:jc w:val="both"/>
              <w:rPr>
                <w:rFonts w:ascii="Verdana" w:hAnsi="Verdana" w:cs="Arial"/>
                <w:bCs/>
                <w:iCs/>
                <w:color w:val="000000"/>
                <w:sz w:val="22"/>
                <w:szCs w:val="22"/>
                <w:lang w:val="es-CO"/>
              </w:rPr>
            </w:pPr>
          </w:p>
          <w:p w14:paraId="618226F6" w14:textId="13AD2C62" w:rsidR="005354B6" w:rsidRPr="002B0F9C"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 xml:space="preserve">En este contexto, </w:t>
            </w:r>
            <w:r w:rsidR="007B1B36" w:rsidRPr="002B0F9C">
              <w:rPr>
                <w:rFonts w:ascii="Verdana" w:hAnsi="Verdana" w:cs="Arial"/>
                <w:bCs/>
                <w:iCs/>
                <w:color w:val="000000"/>
                <w:sz w:val="22"/>
                <w:szCs w:val="22"/>
                <w:lang w:val="es-CO"/>
              </w:rPr>
              <w:t xml:space="preserve"> a manera de ejemplo, </w:t>
            </w:r>
            <w:r w:rsidRPr="002B0F9C">
              <w:rPr>
                <w:rFonts w:ascii="Verdana" w:hAnsi="Verdana" w:cs="Arial"/>
                <w:bCs/>
                <w:iCs/>
                <w:color w:val="000000"/>
                <w:sz w:val="22"/>
                <w:szCs w:val="22"/>
                <w:lang w:val="es-CO"/>
              </w:rPr>
              <w:t xml:space="preserve">durante la reunión técnica realizada el 15 de abril de 2026 </w:t>
            </w:r>
            <w:r w:rsidR="007B1B36" w:rsidRPr="002B0F9C">
              <w:rPr>
                <w:rFonts w:ascii="Verdana" w:hAnsi="Verdana" w:cs="Arial"/>
                <w:bCs/>
                <w:iCs/>
                <w:color w:val="000000"/>
                <w:sz w:val="22"/>
                <w:szCs w:val="22"/>
                <w:lang w:val="es-CO"/>
              </w:rPr>
              <w:t xml:space="preserve"> en </w:t>
            </w:r>
            <w:r w:rsidRPr="002B0F9C">
              <w:rPr>
                <w:rFonts w:ascii="Verdana" w:hAnsi="Verdana" w:cs="Arial"/>
                <w:bCs/>
                <w:iCs/>
                <w:color w:val="000000"/>
                <w:sz w:val="22"/>
                <w:szCs w:val="22"/>
                <w:lang w:val="es-CO"/>
              </w:rPr>
              <w:t>la Presidencia de la República se expuso la necesidad de adoptar un mecanismo normativo que permitiera ampliar la vigencia de las ofertas de compra emitidas por Parques Nacionales Naturales de Colombia, garantizando la continuidad de los procesos de negociación sin afectar las reglas técnicas aplicables a la determinación del valor de los bienes objeto de adquisición. En dicho escenario se analizó la conveniencia de acoger un esquema similar al implementado recientemente por el Gobierno Nacional para otros procesos de adquisición de inmuebles.</w:t>
            </w:r>
          </w:p>
          <w:p w14:paraId="48CF64B7" w14:textId="77777777" w:rsidR="005354B6" w:rsidRPr="002B0F9C" w:rsidRDefault="005354B6">
            <w:pPr>
              <w:jc w:val="both"/>
              <w:rPr>
                <w:rFonts w:ascii="Verdana" w:hAnsi="Verdana" w:cs="Arial"/>
                <w:bCs/>
                <w:iCs/>
                <w:color w:val="000000"/>
                <w:sz w:val="22"/>
                <w:szCs w:val="22"/>
                <w:lang w:val="es-CO"/>
              </w:rPr>
            </w:pPr>
          </w:p>
          <w:p w14:paraId="591D9038" w14:textId="419C809A" w:rsidR="005354B6"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lastRenderedPageBreak/>
              <w:t xml:space="preserve">Como resultado de dicho análisis, se identificó como referente el Decreto 33 de 2025, </w:t>
            </w:r>
            <w:r w:rsidR="007B1B36" w:rsidRPr="002B0F9C">
              <w:rPr>
                <w:rFonts w:ascii="Verdana" w:hAnsi="Verdana" w:cs="Arial"/>
                <w:bCs/>
                <w:iCs/>
                <w:color w:val="000000"/>
                <w:sz w:val="22"/>
                <w:szCs w:val="22"/>
                <w:lang w:val="es-CO"/>
              </w:rPr>
              <w:t>a través  d</w:t>
            </w:r>
            <w:r w:rsidRPr="002B0F9C">
              <w:rPr>
                <w:rFonts w:ascii="Verdana" w:hAnsi="Verdana" w:cs="Arial"/>
                <w:bCs/>
                <w:iCs/>
                <w:color w:val="000000"/>
                <w:sz w:val="22"/>
                <w:szCs w:val="22"/>
                <w:lang w:val="es-CO"/>
              </w:rPr>
              <w:t xml:space="preserve">el cual el Gobierno Nacional definió criterios y parámetros para que la Agencia Nacional de Tierras impulse y articule los procedimientos de negociación directa para la adquisición de predios rurales. En particular, el parágrafo del artículo 2.14.6.4.10 del Decreto Único Reglamentario del Sector Agricultura y Desarrollo Rural, adicionado por el citado decreto, dispone que, </w:t>
            </w:r>
            <w:r w:rsidRPr="000A5B8E">
              <w:rPr>
                <w:rFonts w:ascii="Verdana" w:hAnsi="Verdana" w:cs="Arial"/>
                <w:b/>
                <w:iCs/>
                <w:color w:val="000000"/>
                <w:sz w:val="22"/>
                <w:szCs w:val="22"/>
                <w:lang w:val="es-CO"/>
              </w:rPr>
              <w:t>cuando durante el trámite de negociación se supere la vigencia de los avalúos prevista en el artículo 2.2.3.18 del Decreto 1170 de 2015, las partes podrán suscribir la transferencia con el valor de la oferta</w:t>
            </w:r>
            <w:r w:rsidRPr="002B0F9C">
              <w:rPr>
                <w:rFonts w:ascii="Verdana" w:hAnsi="Verdana" w:cs="Arial"/>
                <w:bCs/>
                <w:iCs/>
                <w:color w:val="000000"/>
                <w:sz w:val="22"/>
                <w:szCs w:val="22"/>
                <w:lang w:val="es-CO"/>
              </w:rPr>
              <w:t xml:space="preserve"> o acordar una cláusula de reajuste del precio.</w:t>
            </w:r>
          </w:p>
          <w:p w14:paraId="2BFE6C5D" w14:textId="5A8FEC26" w:rsidR="00942FA6" w:rsidRDefault="00942FA6">
            <w:pPr>
              <w:jc w:val="both"/>
              <w:rPr>
                <w:rFonts w:ascii="Verdana" w:hAnsi="Verdana" w:cs="Arial"/>
                <w:bCs/>
                <w:iCs/>
                <w:color w:val="000000"/>
                <w:sz w:val="22"/>
                <w:szCs w:val="22"/>
                <w:lang w:val="es-CO"/>
              </w:rPr>
            </w:pPr>
          </w:p>
          <w:p w14:paraId="5E6348C4" w14:textId="2AE985E8" w:rsidR="00942FA6" w:rsidRDefault="00942FA6">
            <w:pPr>
              <w:jc w:val="both"/>
              <w:rPr>
                <w:rFonts w:ascii="Verdana" w:hAnsi="Verdana" w:cs="Arial"/>
                <w:bCs/>
                <w:iCs/>
                <w:color w:val="000000"/>
                <w:sz w:val="22"/>
                <w:szCs w:val="22"/>
                <w:lang w:val="es-CO"/>
              </w:rPr>
            </w:pPr>
            <w:r>
              <w:rPr>
                <w:rFonts w:ascii="Verdana" w:hAnsi="Verdana" w:cs="Arial"/>
                <w:bCs/>
                <w:iCs/>
                <w:color w:val="000000"/>
                <w:sz w:val="22"/>
                <w:szCs w:val="22"/>
                <w:lang w:val="es-CO"/>
              </w:rPr>
              <w:t>En este sentido, esta f</w:t>
            </w:r>
            <w:r w:rsidR="00BD590B">
              <w:rPr>
                <w:rFonts w:ascii="Verdana" w:hAnsi="Verdana" w:cs="Arial"/>
                <w:bCs/>
                <w:iCs/>
                <w:color w:val="000000"/>
                <w:sz w:val="22"/>
                <w:szCs w:val="22"/>
                <w:lang w:val="es-CO"/>
              </w:rPr>
              <w:t>ó</w:t>
            </w:r>
            <w:r>
              <w:rPr>
                <w:rFonts w:ascii="Verdana" w:hAnsi="Verdana" w:cs="Arial"/>
                <w:bCs/>
                <w:iCs/>
                <w:color w:val="000000"/>
                <w:sz w:val="22"/>
                <w:szCs w:val="22"/>
                <w:lang w:val="es-CO"/>
              </w:rPr>
              <w:t xml:space="preserve">rmula prevista en el decreto reglamentario </w:t>
            </w:r>
            <w:r w:rsidR="00BD590B">
              <w:rPr>
                <w:rFonts w:ascii="Verdana" w:hAnsi="Verdana" w:cs="Arial"/>
                <w:bCs/>
                <w:iCs/>
                <w:color w:val="000000"/>
                <w:sz w:val="22"/>
                <w:szCs w:val="22"/>
                <w:lang w:val="es-CO"/>
              </w:rPr>
              <w:t xml:space="preserve">mencionado </w:t>
            </w:r>
            <w:r>
              <w:rPr>
                <w:rFonts w:ascii="Verdana" w:hAnsi="Verdana" w:cs="Arial"/>
                <w:bCs/>
                <w:iCs/>
                <w:color w:val="000000"/>
                <w:sz w:val="22"/>
                <w:szCs w:val="22"/>
                <w:lang w:val="es-CO"/>
              </w:rPr>
              <w:t>para el sector agricultura</w:t>
            </w:r>
            <w:r w:rsidR="00BD590B">
              <w:rPr>
                <w:rFonts w:ascii="Verdana" w:hAnsi="Verdana" w:cs="Arial"/>
                <w:bCs/>
                <w:iCs/>
                <w:color w:val="000000"/>
                <w:sz w:val="22"/>
                <w:szCs w:val="22"/>
                <w:lang w:val="es-CO"/>
              </w:rPr>
              <w:t xml:space="preserve"> es perfectamente aplicable, en relación con la adquisición de predios y mejoras al interior de las áreas protegidas, que conforman el Sistema de Parques Nacionales de Colombia.   </w:t>
            </w:r>
          </w:p>
          <w:p w14:paraId="57B0E2FC" w14:textId="77777777" w:rsidR="005354B6" w:rsidRPr="002B0F9C" w:rsidRDefault="005354B6">
            <w:pPr>
              <w:jc w:val="both"/>
              <w:rPr>
                <w:rFonts w:ascii="Verdana" w:hAnsi="Verdana" w:cs="Arial"/>
                <w:bCs/>
                <w:iCs/>
                <w:color w:val="000000"/>
                <w:sz w:val="22"/>
                <w:szCs w:val="22"/>
                <w:lang w:val="es-CO"/>
              </w:rPr>
            </w:pPr>
          </w:p>
          <w:p w14:paraId="5E32A0EA" w14:textId="77777777" w:rsidR="005354B6"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Este precedente normativo demuestra que la vigencia del avalúo comercial y la vigencia de la oferta de compra corresponden a figuras jurídicas diferentes, con naturaleza y finalidades distintas, por lo que no es necesario que sus términos coincidan. Mientras el avalúo comercial constituye el soporte técnico para determinar el valor del inmueble, la oferta de compra representa la manifestación de voluntad de la administración para adquirir el bien dentro de un periodo determinado. En consecuencia, la ampliación de la vigencia de la oferta de compra no modifica las metodologías técnicas de valoración previstas en el Decreto 1170 de 2015, ni impide la realización de un nuevo avalúo cuando las condiciones ecosistémicas del predio o de la mejora cambien de manera sustancial, sino que constituye un mecanismo que brinda continuidad a las negociaciones, preserva la seguridad jurídica de las partes y optimiza la gestión administrativa.</w:t>
            </w:r>
          </w:p>
          <w:p w14:paraId="59CBC58E" w14:textId="77777777" w:rsidR="009B3CA0" w:rsidRDefault="009B3CA0">
            <w:pPr>
              <w:jc w:val="both"/>
              <w:rPr>
                <w:rFonts w:ascii="Verdana" w:hAnsi="Verdana" w:cs="Arial"/>
                <w:bCs/>
                <w:iCs/>
                <w:color w:val="000000"/>
                <w:sz w:val="22"/>
                <w:szCs w:val="22"/>
                <w:lang w:val="es-CO"/>
              </w:rPr>
            </w:pPr>
          </w:p>
          <w:p w14:paraId="79DC7172" w14:textId="3D7135FC" w:rsidR="009B3CA0" w:rsidRDefault="009B3CA0" w:rsidP="009B3CA0">
            <w:pPr>
              <w:jc w:val="both"/>
              <w:rPr>
                <w:rFonts w:ascii="Verdana" w:hAnsi="Verdana" w:cs="Arial"/>
                <w:bCs/>
                <w:color w:val="000000"/>
                <w:sz w:val="22"/>
                <w:szCs w:val="22"/>
              </w:rPr>
            </w:pPr>
            <w:r>
              <w:rPr>
                <w:rFonts w:ascii="Verdana" w:hAnsi="Verdana" w:cs="Arial"/>
                <w:bCs/>
                <w:iCs/>
                <w:color w:val="000000"/>
                <w:sz w:val="22"/>
                <w:szCs w:val="22"/>
                <w:lang w:val="es-CO"/>
              </w:rPr>
              <w:t xml:space="preserve">Ahora bien, teniendo en cuenta que </w:t>
            </w:r>
            <w:r>
              <w:rPr>
                <w:rFonts w:ascii="Verdana" w:hAnsi="Verdana" w:cs="Arial"/>
                <w:bCs/>
                <w:color w:val="000000"/>
                <w:sz w:val="22"/>
                <w:szCs w:val="22"/>
              </w:rPr>
              <w:t>en los procesos de adquisición por negociación directa de bienes para el saneamiento de las áreas protegidas, el valor de la oferta de compra se establece a través del avalúo comercial que practique el Instituto Geográfico Agustín Codazzi, de acuerdo con lo dispuesto por e</w:t>
            </w:r>
            <w:r w:rsidRPr="002B0F9C">
              <w:rPr>
                <w:rFonts w:ascii="Verdana" w:hAnsi="Verdana" w:cs="Arial"/>
                <w:bCs/>
                <w:color w:val="000000"/>
                <w:sz w:val="22"/>
                <w:szCs w:val="22"/>
              </w:rPr>
              <w:t xml:space="preserve">l parágrafo del artículo 107 de la Ley 99 de 1993 </w:t>
            </w:r>
            <w:r w:rsidRPr="002B0F9C">
              <w:rPr>
                <w:rFonts w:ascii="Verdana" w:hAnsi="Verdana" w:cs="Arial"/>
                <w:bCs/>
                <w:i/>
                <w:iCs/>
                <w:color w:val="000000"/>
                <w:sz w:val="22"/>
                <w:szCs w:val="22"/>
              </w:rPr>
              <w:t>“Tratándose de adquisición por negociación directa o por expropiación de bienes inmuebles de propiedad privada relacionados con las áreas del Sistema de Parques Nacionales Naturales, el precio será fijado por el Instituto Geográfico "Agustín Codazzi" (…)</w:t>
            </w:r>
            <w:r>
              <w:rPr>
                <w:rFonts w:ascii="Verdana" w:hAnsi="Verdana" w:cs="Arial"/>
                <w:bCs/>
                <w:i/>
                <w:iCs/>
                <w:color w:val="000000"/>
                <w:sz w:val="22"/>
                <w:szCs w:val="22"/>
              </w:rPr>
              <w:t xml:space="preserve">, </w:t>
            </w:r>
            <w:r>
              <w:rPr>
                <w:rFonts w:ascii="Verdana" w:hAnsi="Verdana" w:cs="Arial"/>
                <w:bCs/>
                <w:color w:val="000000"/>
                <w:sz w:val="22"/>
                <w:szCs w:val="22"/>
              </w:rPr>
              <w:t>se resalta que la fórmula de reajuste o actualización del precio, contemplada por este proyecto normativo, es en esencia un mecanismo para mantener constante e</w:t>
            </w:r>
            <w:r w:rsidR="003811C4">
              <w:rPr>
                <w:rFonts w:ascii="Verdana" w:hAnsi="Verdana" w:cs="Arial"/>
                <w:bCs/>
                <w:color w:val="000000"/>
                <w:sz w:val="22"/>
                <w:szCs w:val="22"/>
              </w:rPr>
              <w:t>l</w:t>
            </w:r>
            <w:r>
              <w:rPr>
                <w:rFonts w:ascii="Verdana" w:hAnsi="Verdana" w:cs="Arial"/>
                <w:bCs/>
                <w:color w:val="000000"/>
                <w:sz w:val="22"/>
                <w:szCs w:val="22"/>
              </w:rPr>
              <w:t xml:space="preserve"> valor</w:t>
            </w:r>
            <w:r w:rsidR="003811C4">
              <w:rPr>
                <w:rFonts w:ascii="Verdana" w:hAnsi="Verdana" w:cs="Arial"/>
                <w:bCs/>
                <w:color w:val="000000"/>
                <w:sz w:val="22"/>
                <w:szCs w:val="22"/>
              </w:rPr>
              <w:t xml:space="preserve"> de la oferta</w:t>
            </w:r>
            <w:r>
              <w:rPr>
                <w:rFonts w:ascii="Verdana" w:hAnsi="Verdana" w:cs="Arial"/>
                <w:bCs/>
                <w:color w:val="000000"/>
                <w:sz w:val="22"/>
                <w:szCs w:val="22"/>
              </w:rPr>
              <w:t>, durante el periodo que dure la negociación y su correspondiente perfeccionamiento.</w:t>
            </w:r>
          </w:p>
          <w:p w14:paraId="1831EEA2" w14:textId="77777777" w:rsidR="009B3CA0" w:rsidRDefault="009B3CA0" w:rsidP="009B3CA0">
            <w:pPr>
              <w:jc w:val="both"/>
              <w:rPr>
                <w:rFonts w:ascii="Verdana" w:hAnsi="Verdana" w:cs="Arial"/>
                <w:bCs/>
                <w:color w:val="000000"/>
                <w:sz w:val="22"/>
                <w:szCs w:val="22"/>
              </w:rPr>
            </w:pPr>
          </w:p>
          <w:p w14:paraId="2166C4D5" w14:textId="65A24048" w:rsidR="009B3CA0" w:rsidRDefault="009B3CA0" w:rsidP="003811C4">
            <w:pPr>
              <w:jc w:val="both"/>
              <w:rPr>
                <w:rFonts w:ascii="Verdana" w:hAnsi="Verdana" w:cs="Arial"/>
                <w:bCs/>
                <w:color w:val="000000"/>
                <w:sz w:val="22"/>
                <w:szCs w:val="22"/>
              </w:rPr>
            </w:pPr>
            <w:r>
              <w:rPr>
                <w:rFonts w:ascii="Verdana" w:hAnsi="Verdana" w:cs="Arial"/>
                <w:bCs/>
                <w:color w:val="000000"/>
                <w:sz w:val="22"/>
                <w:szCs w:val="22"/>
              </w:rPr>
              <w:t xml:space="preserve">En efecto, </w:t>
            </w:r>
            <w:r w:rsidR="003811C4">
              <w:rPr>
                <w:rFonts w:ascii="Verdana" w:hAnsi="Verdana" w:cs="Arial"/>
                <w:bCs/>
                <w:color w:val="000000"/>
                <w:sz w:val="22"/>
                <w:szCs w:val="22"/>
              </w:rPr>
              <w:t xml:space="preserve">no se trata de una modificación al precio fijado por el Instituto Geográfico Agustín Codazzi a través del avalúo comercial practicado, sino de su actualización a valor presente ante </w:t>
            </w:r>
            <w:r w:rsidR="003811C4" w:rsidRPr="003811C4">
              <w:rPr>
                <w:rFonts w:ascii="Verdana" w:hAnsi="Verdana" w:cs="Arial"/>
                <w:bCs/>
                <w:color w:val="000000"/>
                <w:sz w:val="22"/>
                <w:szCs w:val="22"/>
              </w:rPr>
              <w:t>la pérdida del poder adquisitivo</w:t>
            </w:r>
            <w:r w:rsidR="003811C4">
              <w:rPr>
                <w:rFonts w:ascii="Verdana" w:hAnsi="Verdana" w:cs="Arial"/>
                <w:bCs/>
                <w:color w:val="000000"/>
                <w:sz w:val="22"/>
                <w:szCs w:val="22"/>
              </w:rPr>
              <w:t xml:space="preserve"> de dicho valor frente al índice de inflación esperada, </w:t>
            </w:r>
            <w:r w:rsidR="003811C4" w:rsidRPr="003811C4">
              <w:rPr>
                <w:rFonts w:ascii="Verdana" w:hAnsi="Verdana" w:cs="Arial"/>
                <w:bCs/>
                <w:color w:val="000000"/>
                <w:sz w:val="22"/>
                <w:szCs w:val="22"/>
              </w:rPr>
              <w:t>a fin de evitar que a causa del fenómeno inflacionario se genere un perjuicio</w:t>
            </w:r>
            <w:r w:rsidR="003811C4">
              <w:rPr>
                <w:rFonts w:ascii="Verdana" w:hAnsi="Verdana" w:cs="Arial"/>
                <w:bCs/>
                <w:color w:val="000000"/>
                <w:sz w:val="22"/>
                <w:szCs w:val="22"/>
              </w:rPr>
              <w:t xml:space="preserve"> para el vendedor, como lo ha sostenido en Consejo de Estado en pronunciamientos como el </w:t>
            </w:r>
            <w:r w:rsidR="003811C4" w:rsidRPr="003811C4">
              <w:rPr>
                <w:rFonts w:ascii="Verdana" w:hAnsi="Verdana" w:cs="Arial"/>
                <w:bCs/>
                <w:color w:val="000000"/>
                <w:sz w:val="22"/>
                <w:szCs w:val="22"/>
              </w:rPr>
              <w:t xml:space="preserve">Concepto </w:t>
            </w:r>
            <w:r w:rsidR="003811C4">
              <w:rPr>
                <w:rFonts w:ascii="Verdana" w:hAnsi="Verdana" w:cs="Arial"/>
                <w:bCs/>
                <w:color w:val="000000"/>
                <w:sz w:val="22"/>
                <w:szCs w:val="22"/>
              </w:rPr>
              <w:t xml:space="preserve">No. </w:t>
            </w:r>
            <w:r w:rsidR="003811C4" w:rsidRPr="003811C4">
              <w:rPr>
                <w:rFonts w:ascii="Verdana" w:hAnsi="Verdana" w:cs="Arial"/>
                <w:bCs/>
                <w:color w:val="000000"/>
                <w:sz w:val="22"/>
                <w:szCs w:val="22"/>
              </w:rPr>
              <w:t>1564 de 18 de mayo de 2004</w:t>
            </w:r>
            <w:r w:rsidR="003811C4">
              <w:rPr>
                <w:rFonts w:ascii="Verdana" w:hAnsi="Verdana" w:cs="Arial"/>
                <w:bCs/>
                <w:color w:val="000000"/>
                <w:sz w:val="22"/>
                <w:szCs w:val="22"/>
              </w:rPr>
              <w:t>, de l</w:t>
            </w:r>
            <w:r w:rsidR="003811C4" w:rsidRPr="003811C4">
              <w:rPr>
                <w:rFonts w:ascii="Verdana" w:hAnsi="Verdana" w:cs="Arial"/>
                <w:bCs/>
                <w:color w:val="000000"/>
                <w:sz w:val="22"/>
                <w:szCs w:val="22"/>
              </w:rPr>
              <w:t xml:space="preserve">a Sala de Consulta y Servicio Civil </w:t>
            </w:r>
            <w:r w:rsidR="003811C4">
              <w:rPr>
                <w:rFonts w:ascii="Verdana" w:hAnsi="Verdana" w:cs="Arial"/>
                <w:bCs/>
                <w:color w:val="000000"/>
                <w:sz w:val="22"/>
                <w:szCs w:val="22"/>
              </w:rPr>
              <w:t xml:space="preserve">y el fallo de </w:t>
            </w:r>
            <w:r w:rsidR="003811C4" w:rsidRPr="003811C4">
              <w:rPr>
                <w:rFonts w:ascii="Verdana" w:hAnsi="Verdana" w:cs="Arial"/>
                <w:bCs/>
                <w:color w:val="000000"/>
                <w:sz w:val="22"/>
                <w:szCs w:val="22"/>
              </w:rPr>
              <w:t>30 de mayo de 2013</w:t>
            </w:r>
            <w:r w:rsidR="003811C4">
              <w:rPr>
                <w:rFonts w:ascii="Verdana" w:hAnsi="Verdana" w:cs="Arial"/>
                <w:bCs/>
                <w:color w:val="000000"/>
                <w:sz w:val="22"/>
                <w:szCs w:val="22"/>
              </w:rPr>
              <w:t xml:space="preserve">, </w:t>
            </w:r>
            <w:r w:rsidR="003811C4" w:rsidRPr="003811C4">
              <w:rPr>
                <w:rFonts w:ascii="Verdana" w:hAnsi="Verdana" w:cs="Arial"/>
                <w:bCs/>
                <w:color w:val="000000"/>
                <w:sz w:val="22"/>
                <w:szCs w:val="22"/>
              </w:rPr>
              <w:t xml:space="preserve">Sala </w:t>
            </w:r>
            <w:r w:rsidR="003811C4">
              <w:rPr>
                <w:rFonts w:ascii="Verdana" w:hAnsi="Verdana" w:cs="Arial"/>
                <w:bCs/>
                <w:color w:val="000000"/>
                <w:sz w:val="22"/>
                <w:szCs w:val="22"/>
              </w:rPr>
              <w:t>d</w:t>
            </w:r>
            <w:r w:rsidR="003811C4" w:rsidRPr="003811C4">
              <w:rPr>
                <w:rFonts w:ascii="Verdana" w:hAnsi="Verdana" w:cs="Arial"/>
                <w:bCs/>
                <w:color w:val="000000"/>
                <w:sz w:val="22"/>
                <w:szCs w:val="22"/>
              </w:rPr>
              <w:t xml:space="preserve">e </w:t>
            </w:r>
            <w:r w:rsidR="003811C4">
              <w:rPr>
                <w:rFonts w:ascii="Verdana" w:hAnsi="Verdana" w:cs="Arial"/>
                <w:bCs/>
                <w:color w:val="000000"/>
                <w:sz w:val="22"/>
                <w:szCs w:val="22"/>
              </w:rPr>
              <w:lastRenderedPageBreak/>
              <w:t>l</w:t>
            </w:r>
            <w:r w:rsidR="003811C4" w:rsidRPr="003811C4">
              <w:rPr>
                <w:rFonts w:ascii="Verdana" w:hAnsi="Verdana" w:cs="Arial"/>
                <w:bCs/>
                <w:color w:val="000000"/>
                <w:sz w:val="22"/>
                <w:szCs w:val="22"/>
              </w:rPr>
              <w:t>o Contencioso Administrativo</w:t>
            </w:r>
            <w:r w:rsidR="003811C4">
              <w:rPr>
                <w:rFonts w:ascii="Verdana" w:hAnsi="Verdana" w:cs="Arial"/>
                <w:bCs/>
                <w:color w:val="000000"/>
                <w:sz w:val="22"/>
                <w:szCs w:val="22"/>
              </w:rPr>
              <w:t xml:space="preserve">, </w:t>
            </w:r>
            <w:r w:rsidR="003811C4" w:rsidRPr="003811C4">
              <w:rPr>
                <w:rFonts w:ascii="Verdana" w:hAnsi="Verdana" w:cs="Arial"/>
                <w:bCs/>
                <w:color w:val="000000"/>
                <w:sz w:val="22"/>
                <w:szCs w:val="22"/>
              </w:rPr>
              <w:t>Secci</w:t>
            </w:r>
            <w:r w:rsidR="003811C4">
              <w:rPr>
                <w:rFonts w:ascii="Verdana" w:hAnsi="Verdana" w:cs="Arial"/>
                <w:bCs/>
                <w:color w:val="000000"/>
                <w:sz w:val="22"/>
                <w:szCs w:val="22"/>
              </w:rPr>
              <w:t>ó</w:t>
            </w:r>
            <w:r w:rsidR="003811C4" w:rsidRPr="003811C4">
              <w:rPr>
                <w:rFonts w:ascii="Verdana" w:hAnsi="Verdana" w:cs="Arial"/>
                <w:bCs/>
                <w:color w:val="000000"/>
                <w:sz w:val="22"/>
                <w:szCs w:val="22"/>
              </w:rPr>
              <w:t>n Primera</w:t>
            </w:r>
            <w:r w:rsidR="003811C4">
              <w:rPr>
                <w:rFonts w:ascii="Verdana" w:hAnsi="Verdana" w:cs="Arial"/>
                <w:bCs/>
                <w:color w:val="000000"/>
                <w:sz w:val="22"/>
                <w:szCs w:val="22"/>
              </w:rPr>
              <w:t xml:space="preserve">, </w:t>
            </w:r>
            <w:r w:rsidR="003811C4" w:rsidRPr="003811C4">
              <w:rPr>
                <w:rFonts w:ascii="Verdana" w:hAnsi="Verdana" w:cs="Arial"/>
                <w:bCs/>
                <w:color w:val="000000"/>
                <w:sz w:val="22"/>
                <w:szCs w:val="22"/>
              </w:rPr>
              <w:t>Consejera ponente: María Elizabeth García González</w:t>
            </w:r>
            <w:r w:rsidR="003811C4">
              <w:rPr>
                <w:rFonts w:ascii="Verdana" w:hAnsi="Verdana" w:cs="Arial"/>
                <w:bCs/>
                <w:color w:val="000000"/>
                <w:sz w:val="22"/>
                <w:szCs w:val="22"/>
              </w:rPr>
              <w:t xml:space="preserve"> (Rad. </w:t>
            </w:r>
            <w:r w:rsidR="003811C4" w:rsidRPr="003811C4">
              <w:rPr>
                <w:rFonts w:ascii="Verdana" w:hAnsi="Verdana" w:cs="Arial"/>
                <w:bCs/>
                <w:color w:val="000000"/>
                <w:sz w:val="22"/>
                <w:szCs w:val="22"/>
              </w:rPr>
              <w:t>25000-23-24-000-2006-00986-01</w:t>
            </w:r>
            <w:r w:rsidR="003811C4">
              <w:rPr>
                <w:rFonts w:ascii="Verdana" w:hAnsi="Verdana" w:cs="Arial"/>
                <w:bCs/>
                <w:color w:val="000000"/>
                <w:sz w:val="22"/>
                <w:szCs w:val="22"/>
              </w:rPr>
              <w:t>)</w:t>
            </w:r>
          </w:p>
          <w:p w14:paraId="102EAFA1" w14:textId="77777777" w:rsidR="005354B6" w:rsidRPr="002B0F9C" w:rsidRDefault="005354B6">
            <w:pPr>
              <w:jc w:val="both"/>
              <w:rPr>
                <w:rFonts w:ascii="Verdana" w:hAnsi="Verdana" w:cs="Arial"/>
                <w:bCs/>
                <w:iCs/>
                <w:color w:val="000000"/>
                <w:sz w:val="22"/>
                <w:szCs w:val="22"/>
                <w:lang w:val="es-CO"/>
              </w:rPr>
            </w:pPr>
          </w:p>
          <w:p w14:paraId="5754126A" w14:textId="546EDAB6" w:rsidR="005354B6" w:rsidRPr="002B0F9C" w:rsidRDefault="005354B6">
            <w:pPr>
              <w:jc w:val="both"/>
              <w:rPr>
                <w:rFonts w:ascii="Verdana" w:hAnsi="Verdana" w:cs="Arial"/>
                <w:bCs/>
                <w:iCs/>
                <w:color w:val="000000"/>
                <w:sz w:val="22"/>
                <w:szCs w:val="22"/>
                <w:lang w:val="es-CO"/>
              </w:rPr>
            </w:pPr>
            <w:r w:rsidRPr="002B0F9C">
              <w:rPr>
                <w:rFonts w:ascii="Verdana" w:hAnsi="Verdana" w:cs="Arial"/>
                <w:bCs/>
                <w:iCs/>
                <w:color w:val="000000"/>
                <w:sz w:val="22"/>
                <w:szCs w:val="22"/>
                <w:lang w:val="es-CO"/>
              </w:rPr>
              <w:t xml:space="preserve">Por lo anterior, resulta </w:t>
            </w:r>
            <w:r w:rsidR="007B1B36" w:rsidRPr="002B0F9C">
              <w:rPr>
                <w:rFonts w:ascii="Verdana" w:hAnsi="Verdana" w:cs="Arial"/>
                <w:bCs/>
                <w:iCs/>
                <w:color w:val="000000"/>
                <w:sz w:val="22"/>
                <w:szCs w:val="22"/>
                <w:lang w:val="es-CO"/>
              </w:rPr>
              <w:t xml:space="preserve">procedente </w:t>
            </w:r>
            <w:r w:rsidRPr="002B0F9C">
              <w:rPr>
                <w:rFonts w:ascii="Verdana" w:hAnsi="Verdana" w:cs="Arial"/>
                <w:bCs/>
                <w:iCs/>
                <w:color w:val="000000"/>
                <w:sz w:val="22"/>
                <w:szCs w:val="22"/>
                <w:lang w:val="es-CO"/>
              </w:rPr>
              <w:t xml:space="preserve">establecer </w:t>
            </w:r>
            <w:r w:rsidR="003811C4">
              <w:rPr>
                <w:rFonts w:ascii="Verdana" w:hAnsi="Verdana" w:cs="Arial"/>
                <w:bCs/>
                <w:iCs/>
                <w:color w:val="000000"/>
                <w:sz w:val="22"/>
                <w:szCs w:val="22"/>
                <w:lang w:val="es-CO"/>
              </w:rPr>
              <w:t xml:space="preserve">una </w:t>
            </w:r>
            <w:r w:rsidRPr="002B0F9C">
              <w:rPr>
                <w:rFonts w:ascii="Verdana" w:hAnsi="Verdana" w:cs="Arial"/>
                <w:bCs/>
                <w:iCs/>
                <w:color w:val="000000"/>
                <w:sz w:val="22"/>
                <w:szCs w:val="22"/>
                <w:lang w:val="es-CO"/>
              </w:rPr>
              <w:t xml:space="preserve">regla </w:t>
            </w:r>
            <w:r w:rsidR="003811C4">
              <w:rPr>
                <w:rFonts w:ascii="Verdana" w:hAnsi="Verdana" w:cs="Arial"/>
                <w:bCs/>
                <w:iCs/>
                <w:color w:val="000000"/>
                <w:sz w:val="22"/>
                <w:szCs w:val="22"/>
                <w:lang w:val="es-CO"/>
              </w:rPr>
              <w:t>que permita mantener</w:t>
            </w:r>
            <w:r w:rsidRPr="002B0F9C">
              <w:rPr>
                <w:rFonts w:ascii="Verdana" w:hAnsi="Verdana" w:cs="Arial"/>
                <w:bCs/>
                <w:iCs/>
                <w:color w:val="000000"/>
                <w:sz w:val="22"/>
                <w:szCs w:val="22"/>
                <w:lang w:val="es-CO"/>
              </w:rPr>
              <w:t xml:space="preserve"> la vigencia de las ofertas de compra emitidas por Parques Nacionales Naturales de Colombia</w:t>
            </w:r>
            <w:r w:rsidR="003811C4">
              <w:rPr>
                <w:rFonts w:ascii="Verdana" w:hAnsi="Verdana" w:cs="Arial"/>
                <w:bCs/>
                <w:iCs/>
                <w:color w:val="000000"/>
                <w:sz w:val="22"/>
                <w:szCs w:val="22"/>
                <w:lang w:val="es-CO"/>
              </w:rPr>
              <w:t xml:space="preserve"> durante el periodo de la negociación y su perfeccionamiento, </w:t>
            </w:r>
            <w:r w:rsidRPr="002B0F9C">
              <w:rPr>
                <w:rFonts w:ascii="Verdana" w:hAnsi="Verdana" w:cs="Arial"/>
                <w:bCs/>
                <w:iCs/>
                <w:color w:val="000000"/>
                <w:sz w:val="22"/>
                <w:szCs w:val="22"/>
                <w:lang w:val="es-CO"/>
              </w:rPr>
              <w:t xml:space="preserve">con </w:t>
            </w:r>
            <w:r w:rsidR="003811C4">
              <w:rPr>
                <w:rFonts w:ascii="Verdana" w:hAnsi="Verdana" w:cs="Arial"/>
                <w:bCs/>
                <w:iCs/>
                <w:color w:val="000000"/>
                <w:sz w:val="22"/>
                <w:szCs w:val="22"/>
                <w:lang w:val="es-CO"/>
              </w:rPr>
              <w:t xml:space="preserve">reajuste o </w:t>
            </w:r>
            <w:r w:rsidRPr="002B0F9C">
              <w:rPr>
                <w:rFonts w:ascii="Verdana" w:hAnsi="Verdana" w:cs="Arial"/>
                <w:bCs/>
                <w:iCs/>
                <w:color w:val="000000"/>
                <w:sz w:val="22"/>
                <w:szCs w:val="22"/>
                <w:lang w:val="es-CO"/>
              </w:rPr>
              <w:t>actualización anual de</w:t>
            </w:r>
            <w:r w:rsidR="003811C4">
              <w:rPr>
                <w:rFonts w:ascii="Verdana" w:hAnsi="Verdana" w:cs="Arial"/>
                <w:bCs/>
                <w:iCs/>
                <w:color w:val="000000"/>
                <w:sz w:val="22"/>
                <w:szCs w:val="22"/>
                <w:lang w:val="es-CO"/>
              </w:rPr>
              <w:t>l</w:t>
            </w:r>
            <w:r w:rsidRPr="002B0F9C">
              <w:rPr>
                <w:rFonts w:ascii="Verdana" w:hAnsi="Verdana" w:cs="Arial"/>
                <w:bCs/>
                <w:iCs/>
                <w:color w:val="000000"/>
                <w:sz w:val="22"/>
                <w:szCs w:val="22"/>
                <w:lang w:val="es-CO"/>
              </w:rPr>
              <w:t xml:space="preserve"> valor </w:t>
            </w:r>
            <w:r w:rsidR="003811C4">
              <w:rPr>
                <w:rFonts w:ascii="Verdana" w:hAnsi="Verdana" w:cs="Arial"/>
                <w:bCs/>
                <w:iCs/>
                <w:color w:val="000000"/>
                <w:sz w:val="22"/>
                <w:szCs w:val="22"/>
                <w:lang w:val="es-CO"/>
              </w:rPr>
              <w:t xml:space="preserve">ofertado </w:t>
            </w:r>
            <w:r w:rsidRPr="002B0F9C">
              <w:rPr>
                <w:rFonts w:ascii="Verdana" w:hAnsi="Verdana" w:cs="Arial"/>
                <w:bCs/>
                <w:iCs/>
                <w:color w:val="000000"/>
                <w:sz w:val="22"/>
                <w:szCs w:val="22"/>
                <w:lang w:val="es-CO"/>
              </w:rPr>
              <w:t>conforme a la inflación esperada, con el fin de garantizar la continuidad de los procesos de adquisición, evitar la reiteración de actuaciones administrativas, optimizar el uso de los recursos públicos y contribuir de manera efectiva al saneamiento predial, la restauración ecológica y la consolidación de la función ecológica de la propiedad al interior de las áreas protegidas que integran el Sistema de Parques Nacionales Naturales de Colombia.</w:t>
            </w:r>
          </w:p>
          <w:p w14:paraId="0FDF94F5" w14:textId="575E1092" w:rsidR="00842CBD" w:rsidRPr="002B0F9C" w:rsidRDefault="00842CBD" w:rsidP="000A5B8E">
            <w:pPr>
              <w:ind w:right="428"/>
              <w:jc w:val="both"/>
              <w:rPr>
                <w:rFonts w:ascii="Verdana" w:hAnsi="Verdana" w:cs="Arial"/>
                <w:bCs/>
                <w:color w:val="000000"/>
                <w:sz w:val="22"/>
                <w:szCs w:val="22"/>
              </w:rPr>
            </w:pPr>
          </w:p>
        </w:tc>
      </w:tr>
      <w:tr w:rsidR="00DF60FD" w:rsidRPr="002B0F9C" w14:paraId="2F8C33C3" w14:textId="77777777" w:rsidTr="001A1E25">
        <w:trPr>
          <w:trHeight w:val="66"/>
        </w:trPr>
        <w:tc>
          <w:tcPr>
            <w:tcW w:w="10774" w:type="dxa"/>
            <w:gridSpan w:val="3"/>
            <w:tcBorders>
              <w:top w:val="single" w:sz="4" w:space="0" w:color="auto"/>
              <w:bottom w:val="single" w:sz="4" w:space="0" w:color="auto"/>
            </w:tcBorders>
            <w:shd w:val="clear" w:color="auto" w:fill="FFFFFF"/>
            <w:vAlign w:val="center"/>
          </w:tcPr>
          <w:p w14:paraId="75F58902" w14:textId="77777777" w:rsidR="00DF60FD" w:rsidRPr="002B0F9C" w:rsidRDefault="00DF60FD" w:rsidP="002B0F9C">
            <w:pPr>
              <w:numPr>
                <w:ilvl w:val="0"/>
                <w:numId w:val="46"/>
              </w:numPr>
              <w:rPr>
                <w:rFonts w:ascii="Verdana" w:hAnsi="Verdana" w:cs="Arial"/>
                <w:b/>
                <w:sz w:val="22"/>
                <w:szCs w:val="22"/>
              </w:rPr>
            </w:pPr>
            <w:r w:rsidRPr="002B0F9C">
              <w:rPr>
                <w:rFonts w:ascii="Verdana" w:hAnsi="Verdana" w:cs="Arial"/>
                <w:b/>
                <w:sz w:val="22"/>
                <w:szCs w:val="22"/>
              </w:rPr>
              <w:lastRenderedPageBreak/>
              <w:t>AMBITO DE APLICACIÓN Y SUJETO</w:t>
            </w:r>
            <w:r w:rsidR="00795C6B" w:rsidRPr="002B0F9C">
              <w:rPr>
                <w:rFonts w:ascii="Verdana" w:hAnsi="Verdana" w:cs="Arial"/>
                <w:b/>
                <w:sz w:val="22"/>
                <w:szCs w:val="22"/>
              </w:rPr>
              <w:t>S</w:t>
            </w:r>
            <w:r w:rsidRPr="002B0F9C">
              <w:rPr>
                <w:rFonts w:ascii="Verdana" w:hAnsi="Verdana" w:cs="Arial"/>
                <w:b/>
                <w:sz w:val="22"/>
                <w:szCs w:val="22"/>
              </w:rPr>
              <w:t xml:space="preserve"> A QUIEN</w:t>
            </w:r>
            <w:r w:rsidR="00795C6B" w:rsidRPr="002B0F9C">
              <w:rPr>
                <w:rFonts w:ascii="Verdana" w:hAnsi="Verdana" w:cs="Arial"/>
                <w:b/>
                <w:sz w:val="22"/>
                <w:szCs w:val="22"/>
              </w:rPr>
              <w:t>ES</w:t>
            </w:r>
            <w:r w:rsidRPr="002B0F9C">
              <w:rPr>
                <w:rFonts w:ascii="Verdana" w:hAnsi="Verdana" w:cs="Arial"/>
                <w:b/>
                <w:sz w:val="22"/>
                <w:szCs w:val="22"/>
              </w:rPr>
              <w:t xml:space="preserve"> VA DIRIGIDO</w:t>
            </w:r>
          </w:p>
          <w:p w14:paraId="72A3D3EC" w14:textId="77777777" w:rsidR="008218F4" w:rsidRPr="002B0F9C" w:rsidRDefault="008218F4">
            <w:pPr>
              <w:jc w:val="both"/>
              <w:rPr>
                <w:rFonts w:ascii="Verdana" w:hAnsi="Verdana" w:cs="Arial"/>
                <w:sz w:val="22"/>
                <w:szCs w:val="22"/>
              </w:rPr>
            </w:pPr>
          </w:p>
          <w:p w14:paraId="2998F070" w14:textId="3440425A" w:rsidR="000533A8" w:rsidRPr="002B0F9C" w:rsidRDefault="000533A8">
            <w:pPr>
              <w:jc w:val="both"/>
              <w:rPr>
                <w:rFonts w:ascii="Verdana" w:eastAsia="Arial" w:hAnsi="Verdana" w:cs="Arial"/>
                <w:sz w:val="22"/>
                <w:szCs w:val="22"/>
              </w:rPr>
            </w:pPr>
            <w:r w:rsidRPr="002B0F9C">
              <w:rPr>
                <w:rFonts w:ascii="Verdana" w:hAnsi="Verdana" w:cs="Arial"/>
                <w:sz w:val="22"/>
                <w:szCs w:val="22"/>
              </w:rPr>
              <w:t>El proyecto de decreto aplica par</w:t>
            </w:r>
            <w:r w:rsidR="003811C4">
              <w:rPr>
                <w:rFonts w:ascii="Verdana" w:eastAsia="Arial" w:hAnsi="Verdana" w:cs="Arial"/>
                <w:sz w:val="22"/>
                <w:szCs w:val="22"/>
              </w:rPr>
              <w:t>a</w:t>
            </w:r>
            <w:r w:rsidR="00AD2013" w:rsidRPr="002B0F9C">
              <w:rPr>
                <w:rFonts w:ascii="Verdana" w:eastAsia="Arial" w:hAnsi="Verdana" w:cs="Arial"/>
                <w:sz w:val="22"/>
                <w:szCs w:val="22"/>
              </w:rPr>
              <w:t xml:space="preserve"> </w:t>
            </w:r>
            <w:r w:rsidRPr="002B0F9C">
              <w:rPr>
                <w:rFonts w:ascii="Verdana" w:eastAsia="Arial" w:hAnsi="Verdana" w:cs="Arial"/>
                <w:sz w:val="22"/>
                <w:szCs w:val="22"/>
              </w:rPr>
              <w:t>las áreas protegidas del Sistema de Parques Nacionales Naturales, cuya administración y manejo está a cargo de la Unidad Administrativa Especial Parques Nacionales Naturales de Colombia.</w:t>
            </w:r>
          </w:p>
          <w:p w14:paraId="2F9DDDDA" w14:textId="76655C75" w:rsidR="00795C6B" w:rsidRPr="002B0F9C" w:rsidRDefault="00795C6B">
            <w:pPr>
              <w:pStyle w:val="Listavistosa-nfasis11"/>
              <w:spacing w:after="0" w:line="240" w:lineRule="auto"/>
              <w:ind w:left="0"/>
              <w:jc w:val="both"/>
              <w:rPr>
                <w:rFonts w:ascii="Verdana" w:hAnsi="Verdana" w:cs="Arial"/>
                <w:iCs/>
              </w:rPr>
            </w:pPr>
          </w:p>
        </w:tc>
      </w:tr>
      <w:tr w:rsidR="00DF60FD" w:rsidRPr="002B0F9C" w14:paraId="5FB51086" w14:textId="77777777" w:rsidTr="003C6B5B">
        <w:trPr>
          <w:trHeight w:val="607"/>
        </w:trPr>
        <w:tc>
          <w:tcPr>
            <w:tcW w:w="10774" w:type="dxa"/>
            <w:gridSpan w:val="3"/>
            <w:tcBorders>
              <w:bottom w:val="single" w:sz="4" w:space="0" w:color="auto"/>
            </w:tcBorders>
            <w:shd w:val="clear" w:color="auto" w:fill="FFFFFF"/>
            <w:vAlign w:val="center"/>
          </w:tcPr>
          <w:p w14:paraId="1682656E" w14:textId="77777777" w:rsidR="00DF60FD" w:rsidRPr="002B0F9C" w:rsidRDefault="00DF60FD" w:rsidP="002B0F9C">
            <w:pPr>
              <w:numPr>
                <w:ilvl w:val="0"/>
                <w:numId w:val="46"/>
              </w:numPr>
              <w:rPr>
                <w:rFonts w:ascii="Verdana" w:hAnsi="Verdana" w:cs="Arial"/>
                <w:b/>
                <w:sz w:val="22"/>
                <w:szCs w:val="22"/>
              </w:rPr>
            </w:pPr>
            <w:r w:rsidRPr="002B0F9C">
              <w:rPr>
                <w:rFonts w:ascii="Verdana" w:hAnsi="Verdana" w:cs="Arial"/>
                <w:b/>
                <w:sz w:val="22"/>
                <w:szCs w:val="22"/>
              </w:rPr>
              <w:t>VIABILIDAD JURÍDICA</w:t>
            </w:r>
          </w:p>
          <w:p w14:paraId="0D0B940D" w14:textId="77777777" w:rsidR="00D05B67" w:rsidRPr="002B0F9C" w:rsidRDefault="00D05B67" w:rsidP="002B0F9C">
            <w:pPr>
              <w:ind w:left="494" w:hanging="283"/>
              <w:rPr>
                <w:rFonts w:ascii="Verdana" w:hAnsi="Verdana" w:cs="Arial"/>
                <w:i/>
                <w:sz w:val="22"/>
                <w:szCs w:val="22"/>
              </w:rPr>
            </w:pPr>
          </w:p>
          <w:p w14:paraId="4B8B2572" w14:textId="77777777" w:rsidR="00795C6B" w:rsidRPr="002B0F9C" w:rsidRDefault="00795C6B">
            <w:pPr>
              <w:ind w:left="494" w:hanging="283"/>
              <w:jc w:val="both"/>
              <w:rPr>
                <w:rFonts w:ascii="Verdana" w:hAnsi="Verdana" w:cs="Arial"/>
                <w:b/>
                <w:bCs/>
                <w:sz w:val="22"/>
                <w:szCs w:val="22"/>
                <w:lang w:val="es-CO" w:eastAsia="es-CO"/>
              </w:rPr>
            </w:pPr>
            <w:r w:rsidRPr="002B0F9C">
              <w:rPr>
                <w:rFonts w:ascii="Verdana" w:hAnsi="Verdana" w:cs="Arial"/>
                <w:b/>
                <w:bCs/>
                <w:sz w:val="22"/>
                <w:szCs w:val="22"/>
                <w:lang w:val="es-CO" w:eastAsia="es-CO"/>
              </w:rPr>
              <w:t>3.1 Análisis de las normas que otorgan la competencia para la expedición del proyecto normativo</w:t>
            </w:r>
          </w:p>
          <w:p w14:paraId="0E27B00A" w14:textId="77777777" w:rsidR="00852597" w:rsidRPr="002B0F9C" w:rsidRDefault="00852597">
            <w:pPr>
              <w:autoSpaceDE w:val="0"/>
              <w:ind w:left="211"/>
              <w:jc w:val="both"/>
              <w:rPr>
                <w:rFonts w:ascii="Verdana" w:hAnsi="Verdana" w:cs="Arial"/>
                <w:sz w:val="22"/>
                <w:szCs w:val="22"/>
              </w:rPr>
            </w:pPr>
          </w:p>
          <w:p w14:paraId="025D9A8C" w14:textId="77777777" w:rsidR="000533A8" w:rsidRPr="002B0F9C" w:rsidRDefault="000533A8">
            <w:pPr>
              <w:jc w:val="both"/>
              <w:rPr>
                <w:rFonts w:ascii="Verdana" w:hAnsi="Verdana" w:cs="Arial"/>
                <w:sz w:val="22"/>
                <w:szCs w:val="22"/>
              </w:rPr>
            </w:pPr>
            <w:r w:rsidRPr="002B0F9C">
              <w:rPr>
                <w:rFonts w:ascii="Verdana" w:hAnsi="Verdana" w:cs="Arial"/>
                <w:sz w:val="22"/>
                <w:szCs w:val="22"/>
              </w:rPr>
              <w:t>De acuerdo con el numeral 11 del artículo 189 de la Constitución Política, corresponde al Presidente de la República ejercer la potestad reglamentaria mediante la expedición de los decretos necesarios para garantizar la cumplida ejecución de las leyes.</w:t>
            </w:r>
          </w:p>
          <w:p w14:paraId="5BFEAE45" w14:textId="77777777" w:rsidR="000533A8" w:rsidRPr="002B0F9C" w:rsidRDefault="000533A8">
            <w:pPr>
              <w:jc w:val="both"/>
              <w:rPr>
                <w:rFonts w:ascii="Verdana" w:hAnsi="Verdana" w:cs="Arial"/>
                <w:sz w:val="22"/>
                <w:szCs w:val="22"/>
              </w:rPr>
            </w:pPr>
          </w:p>
          <w:p w14:paraId="60061E4C" w14:textId="54707CDC" w:rsidR="00607489" w:rsidRPr="002B0F9C" w:rsidRDefault="000533A8">
            <w:pPr>
              <w:jc w:val="both"/>
              <w:rPr>
                <w:rFonts w:ascii="Verdana" w:hAnsi="Verdana" w:cs="Arial"/>
                <w:sz w:val="22"/>
                <w:szCs w:val="22"/>
              </w:rPr>
            </w:pPr>
            <w:r w:rsidRPr="002B0F9C">
              <w:rPr>
                <w:rFonts w:ascii="Verdana" w:hAnsi="Verdana" w:cs="Arial"/>
                <w:sz w:val="22"/>
                <w:szCs w:val="22"/>
              </w:rPr>
              <w:t>Para ello, según lo contemplado en el artículo 59 de la Ley 489 de 1998, corresponde a los ministerios y departamentos administrativos, sin perjuicio de lo dispuesto en sus actos de creación o en leyes especiales, preparar los proyectos de ley relacionados con su ramo y preparar los proyectos de decretos y resoluciones ejecutivas que deban dictarse en ejercicio de las atribuciones que corresponden al Presidente de la República cómo suprema autoridad administrativa y dar desarrollo a sus órdenes que se relacionen con tales atribuciones.</w:t>
            </w:r>
          </w:p>
          <w:p w14:paraId="1375CDF1" w14:textId="77777777" w:rsidR="000533A8" w:rsidRPr="002B0F9C" w:rsidRDefault="000533A8">
            <w:pPr>
              <w:jc w:val="both"/>
              <w:rPr>
                <w:rFonts w:ascii="Verdana" w:hAnsi="Verdana" w:cs="Arial"/>
                <w:sz w:val="22"/>
                <w:szCs w:val="22"/>
              </w:rPr>
            </w:pPr>
          </w:p>
          <w:p w14:paraId="6E6CB1C6" w14:textId="77777777" w:rsidR="00795C6B" w:rsidRPr="002B0F9C" w:rsidRDefault="00795C6B">
            <w:pPr>
              <w:ind w:left="494" w:hanging="283"/>
              <w:jc w:val="both"/>
              <w:rPr>
                <w:rFonts w:ascii="Verdana" w:hAnsi="Verdana" w:cs="Arial"/>
                <w:b/>
                <w:bCs/>
                <w:sz w:val="22"/>
                <w:szCs w:val="22"/>
                <w:lang w:val="es-CO" w:eastAsia="es-CO"/>
              </w:rPr>
            </w:pPr>
            <w:r w:rsidRPr="002B0F9C">
              <w:rPr>
                <w:rFonts w:ascii="Verdana" w:hAnsi="Verdana" w:cs="Arial"/>
                <w:b/>
                <w:bCs/>
                <w:sz w:val="22"/>
                <w:szCs w:val="22"/>
                <w:lang w:val="es-CO" w:eastAsia="es-CO"/>
              </w:rPr>
              <w:t>3.2 Vigencia de la ley o norma reglamentada o desarrollada</w:t>
            </w:r>
          </w:p>
          <w:p w14:paraId="4863DE02" w14:textId="7846D5F6" w:rsidR="000533A8" w:rsidRPr="002B0F9C" w:rsidRDefault="000533A8">
            <w:pPr>
              <w:jc w:val="both"/>
              <w:rPr>
                <w:rFonts w:ascii="Verdana" w:hAnsi="Verdana" w:cs="Arial"/>
                <w:color w:val="000000"/>
                <w:sz w:val="22"/>
                <w:szCs w:val="22"/>
              </w:rPr>
            </w:pPr>
          </w:p>
          <w:p w14:paraId="66E6D78E" w14:textId="77777777" w:rsidR="000F1A78" w:rsidRPr="002B0F9C" w:rsidRDefault="000F1A78" w:rsidP="009B3CA0">
            <w:pPr>
              <w:jc w:val="both"/>
              <w:rPr>
                <w:rFonts w:ascii="Verdana" w:hAnsi="Verdana" w:cs="Arial"/>
                <w:sz w:val="22"/>
                <w:szCs w:val="22"/>
              </w:rPr>
            </w:pPr>
            <w:r w:rsidRPr="002B0F9C">
              <w:rPr>
                <w:rFonts w:ascii="Verdana" w:hAnsi="Verdana" w:cs="Arial"/>
                <w:sz w:val="22"/>
                <w:szCs w:val="22"/>
              </w:rPr>
              <w:t>Con el presente decreto se pretende establecer una regla especial respecto de la vigencia de las ofertas de compra emitidas por la Unidad Administrativa Especial de Parques Nacionales Naturales de Colombia para la adquisición de predios y mejoras ubicados al interior de las áreas protegidas del Sistema de Parques Nacionales Naturales.</w:t>
            </w:r>
          </w:p>
          <w:p w14:paraId="13BAAF2F" w14:textId="3C2F0C9E" w:rsidR="002A4AC2" w:rsidRPr="002B0F9C" w:rsidRDefault="002A4AC2" w:rsidP="002B0F9C">
            <w:pPr>
              <w:autoSpaceDE w:val="0"/>
              <w:jc w:val="both"/>
              <w:rPr>
                <w:rFonts w:ascii="Verdana" w:hAnsi="Verdana" w:cs="Arial"/>
                <w:sz w:val="22"/>
                <w:szCs w:val="22"/>
              </w:rPr>
            </w:pPr>
          </w:p>
          <w:p w14:paraId="5F269E59" w14:textId="0EDB8984" w:rsidR="000C7C58" w:rsidRPr="002B0F9C" w:rsidRDefault="000C7C58">
            <w:pPr>
              <w:jc w:val="both"/>
              <w:rPr>
                <w:rFonts w:ascii="Verdana" w:hAnsi="Verdana" w:cs="Arial"/>
                <w:sz w:val="22"/>
                <w:szCs w:val="22"/>
              </w:rPr>
            </w:pPr>
            <w:r w:rsidRPr="002B0F9C">
              <w:rPr>
                <w:rFonts w:ascii="Verdana" w:hAnsi="Verdana" w:cs="Arial"/>
                <w:sz w:val="22"/>
                <w:szCs w:val="22"/>
              </w:rPr>
              <w:lastRenderedPageBreak/>
              <w:t xml:space="preserve">La medida propone que dichas ofertas </w:t>
            </w:r>
            <w:r w:rsidR="003811C4">
              <w:rPr>
                <w:rFonts w:ascii="Verdana" w:hAnsi="Verdana" w:cs="Arial"/>
                <w:sz w:val="22"/>
                <w:szCs w:val="22"/>
              </w:rPr>
              <w:t>mantengan su</w:t>
            </w:r>
            <w:r w:rsidRPr="002B0F9C">
              <w:rPr>
                <w:rFonts w:ascii="Verdana" w:hAnsi="Verdana" w:cs="Arial"/>
                <w:sz w:val="22"/>
                <w:szCs w:val="22"/>
              </w:rPr>
              <w:t xml:space="preserve"> vigencia </w:t>
            </w:r>
            <w:r w:rsidR="003811C4">
              <w:rPr>
                <w:rFonts w:ascii="Verdana" w:hAnsi="Verdana" w:cs="Arial"/>
                <w:sz w:val="22"/>
                <w:szCs w:val="22"/>
              </w:rPr>
              <w:t>durante el proceso de adquisición, hasta el perfeccionamiento de la negociación</w:t>
            </w:r>
            <w:r w:rsidRPr="002B0F9C">
              <w:rPr>
                <w:rFonts w:ascii="Verdana" w:hAnsi="Verdana" w:cs="Arial"/>
                <w:sz w:val="22"/>
                <w:szCs w:val="22"/>
              </w:rPr>
              <w:t>, permitiendo que durante dicho término puedan culminarse los trámites técnicos, jurídicos, presupuestales y administrativos requeridos para la formalización de las adquisiciones.</w:t>
            </w:r>
          </w:p>
          <w:p w14:paraId="6795AD52" w14:textId="77777777" w:rsidR="000C7C58" w:rsidRPr="002B0F9C" w:rsidRDefault="000C7C58">
            <w:pPr>
              <w:jc w:val="both"/>
              <w:rPr>
                <w:rFonts w:ascii="Verdana" w:hAnsi="Verdana" w:cs="Arial"/>
                <w:sz w:val="22"/>
                <w:szCs w:val="22"/>
              </w:rPr>
            </w:pPr>
          </w:p>
          <w:p w14:paraId="74271FB1" w14:textId="77777777" w:rsidR="000C7C58" w:rsidRPr="002B0F9C" w:rsidRDefault="000C7C58">
            <w:pPr>
              <w:jc w:val="both"/>
              <w:rPr>
                <w:rFonts w:ascii="Verdana" w:hAnsi="Verdana" w:cs="Arial"/>
                <w:sz w:val="22"/>
                <w:szCs w:val="22"/>
              </w:rPr>
            </w:pPr>
            <w:r w:rsidRPr="002B0F9C">
              <w:rPr>
                <w:rFonts w:ascii="Verdana" w:hAnsi="Verdana" w:cs="Arial"/>
                <w:sz w:val="22"/>
                <w:szCs w:val="22"/>
              </w:rPr>
              <w:t>La ampliación de la vigencia de las ofertas responde a la necesidad de garantizar mayor eficiencia administrativa, seguridad jurídica y adecuada ejecución de los recursos públicos destinados a la adquisición de predios y mejoras, evitando la repetición de actuaciones administrativas y facilitando el cumplimiento de las estrategias institucionales de saneamiento predial, restauración ecológica y conservación de las áreas protegidas.</w:t>
            </w:r>
          </w:p>
          <w:p w14:paraId="4B94D5A5" w14:textId="77777777" w:rsidR="00034E2E" w:rsidRPr="002B0F9C" w:rsidRDefault="00034E2E" w:rsidP="000A5B8E">
            <w:pPr>
              <w:jc w:val="both"/>
              <w:rPr>
                <w:rFonts w:ascii="Verdana" w:hAnsi="Verdana" w:cs="Arial"/>
                <w:sz w:val="22"/>
                <w:szCs w:val="22"/>
                <w:lang w:val="es-CO" w:eastAsia="es-CO"/>
              </w:rPr>
            </w:pPr>
          </w:p>
          <w:p w14:paraId="671AC3FB" w14:textId="77777777" w:rsidR="00795C6B" w:rsidRPr="002B0F9C" w:rsidRDefault="00795C6B">
            <w:pPr>
              <w:ind w:left="494" w:hanging="283"/>
              <w:jc w:val="both"/>
              <w:rPr>
                <w:rFonts w:ascii="Verdana" w:hAnsi="Verdana" w:cs="Arial"/>
                <w:b/>
                <w:bCs/>
                <w:sz w:val="22"/>
                <w:szCs w:val="22"/>
                <w:lang w:val="es-CO" w:eastAsia="es-CO"/>
              </w:rPr>
            </w:pPr>
            <w:r w:rsidRPr="002B0F9C">
              <w:rPr>
                <w:rFonts w:ascii="Verdana" w:hAnsi="Verdana" w:cs="Arial"/>
                <w:b/>
                <w:bCs/>
                <w:sz w:val="22"/>
                <w:szCs w:val="22"/>
                <w:lang w:val="es-CO" w:eastAsia="es-CO"/>
              </w:rPr>
              <w:t>3.3. Disposiciones deroga</w:t>
            </w:r>
            <w:r w:rsidR="008F1DE8" w:rsidRPr="002B0F9C">
              <w:rPr>
                <w:rFonts w:ascii="Verdana" w:hAnsi="Verdana" w:cs="Arial"/>
                <w:b/>
                <w:bCs/>
                <w:sz w:val="22"/>
                <w:szCs w:val="22"/>
                <w:lang w:val="es-CO" w:eastAsia="es-CO"/>
              </w:rPr>
              <w:t>da</w:t>
            </w:r>
            <w:r w:rsidRPr="002B0F9C">
              <w:rPr>
                <w:rFonts w:ascii="Verdana" w:hAnsi="Verdana" w:cs="Arial"/>
                <w:b/>
                <w:bCs/>
                <w:sz w:val="22"/>
                <w:szCs w:val="22"/>
                <w:lang w:val="es-CO" w:eastAsia="es-CO"/>
              </w:rPr>
              <w:t>s, subrogadas, modificadas, adicionadas</w:t>
            </w:r>
            <w:r w:rsidR="00D05B67" w:rsidRPr="002B0F9C">
              <w:rPr>
                <w:rFonts w:ascii="Verdana" w:hAnsi="Verdana" w:cs="Arial"/>
                <w:b/>
                <w:bCs/>
                <w:sz w:val="22"/>
                <w:szCs w:val="22"/>
                <w:lang w:val="es-CO" w:eastAsia="es-CO"/>
              </w:rPr>
              <w:t xml:space="preserve"> o sustituidas </w:t>
            </w:r>
          </w:p>
          <w:p w14:paraId="3DEEC669" w14:textId="77777777" w:rsidR="00F43E6E" w:rsidRPr="002B0F9C" w:rsidRDefault="00F43E6E">
            <w:pPr>
              <w:ind w:left="494" w:hanging="283"/>
              <w:jc w:val="both"/>
              <w:rPr>
                <w:rFonts w:ascii="Verdana" w:hAnsi="Verdana" w:cs="Arial"/>
                <w:b/>
                <w:bCs/>
                <w:sz w:val="22"/>
                <w:szCs w:val="22"/>
                <w:lang w:val="es-CO" w:eastAsia="es-CO"/>
              </w:rPr>
            </w:pPr>
          </w:p>
          <w:p w14:paraId="3C14D080" w14:textId="5230D201" w:rsidR="00D05B67" w:rsidRPr="002B0F9C" w:rsidRDefault="00F43E6E">
            <w:pPr>
              <w:jc w:val="both"/>
              <w:rPr>
                <w:rFonts w:ascii="Verdana" w:hAnsi="Verdana" w:cs="Arial"/>
                <w:sz w:val="22"/>
                <w:szCs w:val="22"/>
                <w:lang w:val="es-CO" w:eastAsia="es-CO"/>
              </w:rPr>
            </w:pPr>
            <w:r w:rsidRPr="002B0F9C">
              <w:rPr>
                <w:rFonts w:ascii="Verdana" w:hAnsi="Verdana" w:cs="Arial"/>
                <w:sz w:val="22"/>
                <w:szCs w:val="22"/>
                <w:lang w:val="es-CO" w:eastAsia="es-CO"/>
              </w:rPr>
              <w:t>Este proyecto normativo no deroga, subroga, modifica, adiciona o sustituye alguna disposición.</w:t>
            </w:r>
          </w:p>
          <w:p w14:paraId="3656B9AB" w14:textId="77777777" w:rsidR="002A4AC2" w:rsidRPr="002B0F9C" w:rsidRDefault="002A4AC2">
            <w:pPr>
              <w:ind w:left="494" w:hanging="283"/>
              <w:jc w:val="both"/>
              <w:rPr>
                <w:rFonts w:ascii="Verdana" w:hAnsi="Verdana" w:cs="Arial"/>
                <w:sz w:val="22"/>
                <w:szCs w:val="22"/>
                <w:lang w:val="es-CO" w:eastAsia="es-CO"/>
              </w:rPr>
            </w:pPr>
          </w:p>
          <w:p w14:paraId="43544FBF" w14:textId="77777777" w:rsidR="00D05B67" w:rsidRPr="002B0F9C" w:rsidRDefault="00D05B67">
            <w:pPr>
              <w:numPr>
                <w:ilvl w:val="1"/>
                <w:numId w:val="46"/>
              </w:numPr>
              <w:jc w:val="both"/>
              <w:rPr>
                <w:rFonts w:ascii="Verdana" w:hAnsi="Verdana" w:cs="Arial"/>
                <w:b/>
                <w:bCs/>
                <w:sz w:val="22"/>
                <w:szCs w:val="22"/>
                <w:lang w:val="es-CO" w:eastAsia="es-CO"/>
              </w:rPr>
            </w:pPr>
            <w:r w:rsidRPr="002B0F9C">
              <w:rPr>
                <w:rFonts w:ascii="Verdana" w:hAnsi="Verdana" w:cs="Arial"/>
                <w:b/>
                <w:bCs/>
                <w:sz w:val="22"/>
                <w:szCs w:val="22"/>
                <w:lang w:val="es-CO" w:eastAsia="es-CO"/>
              </w:rPr>
              <w:t>Revisión y análisis de la jurisprudencia que tenga impacto o sea relevante para la expedición del proyecto normativo (órganos de cierre de cada jurisdicción)</w:t>
            </w:r>
            <w:r w:rsidR="002A4AC2" w:rsidRPr="002B0F9C">
              <w:rPr>
                <w:rFonts w:ascii="Verdana" w:hAnsi="Verdana" w:cs="Arial"/>
                <w:b/>
                <w:bCs/>
                <w:sz w:val="22"/>
                <w:szCs w:val="22"/>
                <w:lang w:val="es-CO" w:eastAsia="es-CO"/>
              </w:rPr>
              <w:t>.</w:t>
            </w:r>
          </w:p>
          <w:p w14:paraId="45FB0818" w14:textId="77777777" w:rsidR="000C37CA" w:rsidRPr="002B0F9C" w:rsidRDefault="000C37CA">
            <w:pPr>
              <w:ind w:left="494" w:hanging="283"/>
              <w:jc w:val="both"/>
              <w:rPr>
                <w:rFonts w:ascii="Verdana" w:hAnsi="Verdana" w:cs="Arial"/>
                <w:sz w:val="22"/>
                <w:szCs w:val="22"/>
                <w:lang w:val="es-CO" w:eastAsia="es-CO"/>
              </w:rPr>
            </w:pPr>
          </w:p>
          <w:p w14:paraId="4DDBEF00" w14:textId="64C0FD66" w:rsidR="002A4AC2" w:rsidRPr="002B0F9C" w:rsidRDefault="000533A8">
            <w:pPr>
              <w:pStyle w:val="Cuerpo"/>
              <w:spacing w:after="0" w:line="240" w:lineRule="auto"/>
              <w:jc w:val="both"/>
              <w:rPr>
                <w:rFonts w:ascii="Verdana" w:hAnsi="Verdana" w:cs="Arial"/>
              </w:rPr>
            </w:pPr>
            <w:r w:rsidRPr="002B0F9C">
              <w:rPr>
                <w:rFonts w:ascii="Verdana" w:hAnsi="Verdana" w:cs="Arial"/>
              </w:rPr>
              <w:t>N/A</w:t>
            </w:r>
          </w:p>
          <w:p w14:paraId="7614CCC4" w14:textId="77777777" w:rsidR="00033748" w:rsidRPr="002B0F9C" w:rsidRDefault="00033748">
            <w:pPr>
              <w:pStyle w:val="Cuerpo"/>
              <w:spacing w:after="0" w:line="240" w:lineRule="auto"/>
              <w:jc w:val="both"/>
              <w:rPr>
                <w:rFonts w:ascii="Verdana" w:hAnsi="Verdana" w:cs="Arial"/>
              </w:rPr>
            </w:pPr>
          </w:p>
          <w:p w14:paraId="0F10AAC2" w14:textId="77777777" w:rsidR="00795C6B" w:rsidRPr="002B0F9C" w:rsidRDefault="00D05B67">
            <w:pPr>
              <w:ind w:left="494" w:hanging="283"/>
              <w:jc w:val="both"/>
              <w:rPr>
                <w:rFonts w:ascii="Verdana" w:hAnsi="Verdana" w:cs="Arial"/>
                <w:b/>
                <w:bCs/>
                <w:sz w:val="22"/>
                <w:szCs w:val="22"/>
                <w:lang w:val="es-CO" w:eastAsia="es-CO"/>
              </w:rPr>
            </w:pPr>
            <w:r w:rsidRPr="002B0F9C">
              <w:rPr>
                <w:rFonts w:ascii="Verdana" w:hAnsi="Verdana" w:cs="Arial"/>
                <w:b/>
                <w:bCs/>
                <w:sz w:val="22"/>
                <w:szCs w:val="22"/>
                <w:lang w:val="es-CO" w:eastAsia="es-CO"/>
              </w:rPr>
              <w:t>3.5 Circunstancias jurídicas adicionales</w:t>
            </w:r>
          </w:p>
          <w:p w14:paraId="3461D779" w14:textId="77777777" w:rsidR="0072125D" w:rsidRPr="002B0F9C" w:rsidRDefault="0072125D">
            <w:pPr>
              <w:ind w:left="494" w:hanging="283"/>
              <w:jc w:val="both"/>
              <w:rPr>
                <w:rFonts w:ascii="Verdana" w:hAnsi="Verdana" w:cs="Arial"/>
                <w:sz w:val="22"/>
                <w:szCs w:val="22"/>
                <w:lang w:val="es-CO" w:eastAsia="es-CO"/>
              </w:rPr>
            </w:pPr>
          </w:p>
          <w:p w14:paraId="1136343C" w14:textId="414D23FD" w:rsidR="0072125D" w:rsidRDefault="000533A8">
            <w:pPr>
              <w:jc w:val="both"/>
              <w:rPr>
                <w:rFonts w:ascii="Verdana" w:hAnsi="Verdana" w:cs="Arial"/>
                <w:sz w:val="22"/>
                <w:szCs w:val="22"/>
                <w:lang w:eastAsia="es-CO"/>
              </w:rPr>
            </w:pPr>
            <w:r w:rsidRPr="002B0F9C">
              <w:rPr>
                <w:rFonts w:ascii="Verdana" w:hAnsi="Verdana" w:cs="Arial"/>
                <w:sz w:val="22"/>
                <w:szCs w:val="22"/>
                <w:lang w:eastAsia="es-CO"/>
              </w:rPr>
              <w:t xml:space="preserve">Teniendo en cuenta la obligación legal de publicar los proyectos específicos de regulación con el fin de garantizar el conocimiento de su contenido por parte de los ciudadanos o grupos de interés que participen en el proceso de producción normativa, prevista en el artículo </w:t>
            </w:r>
            <w:r w:rsidR="002B0F9C" w:rsidRPr="002B0F9C">
              <w:rPr>
                <w:rFonts w:ascii="Verdana" w:hAnsi="Verdana" w:cs="Arial"/>
                <w:sz w:val="22"/>
                <w:szCs w:val="22"/>
                <w:lang w:eastAsia="es-CO"/>
              </w:rPr>
              <w:t xml:space="preserve"> </w:t>
            </w:r>
            <w:r w:rsidR="002B0F9C" w:rsidRPr="009B3CA0">
              <w:rPr>
                <w:rStyle w:val="Textoennegrita"/>
                <w:rFonts w:ascii="Verdana" w:hAnsi="Verdana" w:cs="Arial"/>
                <w:b w:val="0"/>
                <w:color w:val="000000"/>
                <w:sz w:val="22"/>
                <w:szCs w:val="22"/>
              </w:rPr>
              <w:t>2.1.2.5.1.4.</w:t>
            </w:r>
            <w:r w:rsidR="002B0F9C" w:rsidRPr="009B3CA0">
              <w:rPr>
                <w:rFonts w:ascii="Verdana" w:hAnsi="Verdana" w:cs="Arial"/>
                <w:sz w:val="22"/>
                <w:szCs w:val="22"/>
                <w:lang w:eastAsia="es-CO"/>
              </w:rPr>
              <w:t xml:space="preserve"> del Decreto 385   de 2026,  </w:t>
            </w:r>
            <w:r w:rsidR="002B0F9C" w:rsidRPr="002B0F9C">
              <w:rPr>
                <w:rFonts w:ascii="Verdana" w:hAnsi="Verdana" w:cs="Arial"/>
                <w:sz w:val="22"/>
                <w:szCs w:val="22"/>
                <w:lang w:eastAsia="es-CO"/>
              </w:rPr>
              <w:t xml:space="preserve">  “</w:t>
            </w:r>
            <w:r w:rsidR="002B0F9C" w:rsidRPr="009B3CA0">
              <w:rPr>
                <w:rFonts w:ascii="Verdana" w:hAnsi="Verdana" w:cs="Arial"/>
                <w:bCs/>
                <w:color w:val="000000"/>
                <w:sz w:val="22"/>
                <w:szCs w:val="22"/>
              </w:rPr>
              <w:t xml:space="preserve">por el cual se sustituye el Título 2 de la Parte 1 del Libro 2 del Decreto número 1081 de 2015, relacionado con las directrices generales de técnica normativa”, </w:t>
            </w:r>
            <w:r w:rsidRPr="002B0F9C">
              <w:rPr>
                <w:rFonts w:ascii="Verdana" w:hAnsi="Verdana" w:cs="Arial"/>
                <w:sz w:val="22"/>
                <w:szCs w:val="22"/>
                <w:lang w:eastAsia="es-CO"/>
              </w:rPr>
              <w:t xml:space="preserve"> se deberán publicar en la sección de Transparencia y Acceso a la Información Pública del sitio Web del </w:t>
            </w:r>
            <w:r w:rsidR="00133EFF" w:rsidRPr="002B0F9C">
              <w:rPr>
                <w:rFonts w:ascii="Verdana" w:hAnsi="Verdana" w:cs="Arial"/>
                <w:sz w:val="22"/>
                <w:szCs w:val="22"/>
                <w:lang w:eastAsia="es-CO"/>
              </w:rPr>
              <w:t xml:space="preserve">Ministerio de Ambiente y Desarrollo Sostenible </w:t>
            </w:r>
            <w:r w:rsidRPr="002B0F9C">
              <w:rPr>
                <w:rFonts w:ascii="Verdana" w:hAnsi="Verdana" w:cs="Arial"/>
                <w:sz w:val="22"/>
                <w:szCs w:val="22"/>
                <w:lang w:eastAsia="es-CO"/>
              </w:rPr>
              <w:t xml:space="preserve"> por el término de </w:t>
            </w:r>
            <w:r w:rsidR="002A4212">
              <w:rPr>
                <w:rFonts w:ascii="Verdana" w:hAnsi="Verdana" w:cs="Arial"/>
                <w:sz w:val="22"/>
                <w:szCs w:val="22"/>
                <w:lang w:eastAsia="es-CO"/>
              </w:rPr>
              <w:t>diez</w:t>
            </w:r>
            <w:r w:rsidRPr="002B0F9C">
              <w:rPr>
                <w:rFonts w:ascii="Verdana" w:hAnsi="Verdana" w:cs="Arial"/>
                <w:sz w:val="22"/>
                <w:szCs w:val="22"/>
                <w:lang w:eastAsia="es-CO"/>
              </w:rPr>
              <w:t xml:space="preserve"> (1</w:t>
            </w:r>
            <w:r w:rsidR="002A4212">
              <w:rPr>
                <w:rFonts w:ascii="Verdana" w:hAnsi="Verdana" w:cs="Arial"/>
                <w:sz w:val="22"/>
                <w:szCs w:val="22"/>
                <w:lang w:eastAsia="es-CO"/>
              </w:rPr>
              <w:t>0</w:t>
            </w:r>
            <w:r w:rsidRPr="002B0F9C">
              <w:rPr>
                <w:rFonts w:ascii="Verdana" w:hAnsi="Verdana" w:cs="Arial"/>
                <w:sz w:val="22"/>
                <w:szCs w:val="22"/>
                <w:lang w:eastAsia="es-CO"/>
              </w:rPr>
              <w:t xml:space="preserve">) días calendario, contados a partir del día siguiente de la publicación, este proyecto de decreto y los soportes fue publicado desde </w:t>
            </w:r>
            <w:r w:rsidRPr="002B0F9C">
              <w:rPr>
                <w:rFonts w:ascii="Verdana" w:hAnsi="Verdana" w:cs="Arial"/>
                <w:sz w:val="22"/>
                <w:szCs w:val="22"/>
                <w:highlight w:val="cyan"/>
                <w:lang w:eastAsia="es-CO"/>
              </w:rPr>
              <w:t>el día XX de  XXXXX  de 202</w:t>
            </w:r>
            <w:r w:rsidR="00033748" w:rsidRPr="002B0F9C">
              <w:rPr>
                <w:rFonts w:ascii="Verdana" w:hAnsi="Verdana" w:cs="Arial"/>
                <w:sz w:val="22"/>
                <w:szCs w:val="22"/>
                <w:highlight w:val="cyan"/>
                <w:lang w:eastAsia="es-CO"/>
              </w:rPr>
              <w:t>6</w:t>
            </w:r>
            <w:r w:rsidRPr="002B0F9C">
              <w:rPr>
                <w:rFonts w:ascii="Verdana" w:hAnsi="Verdana" w:cs="Arial"/>
                <w:sz w:val="22"/>
                <w:szCs w:val="22"/>
                <w:highlight w:val="cyan"/>
                <w:lang w:eastAsia="es-CO"/>
              </w:rPr>
              <w:t xml:space="preserve"> hasta el día XX de XXXXX  de 202</w:t>
            </w:r>
            <w:r w:rsidR="00033748" w:rsidRPr="002B0F9C">
              <w:rPr>
                <w:rFonts w:ascii="Verdana" w:hAnsi="Verdana" w:cs="Arial"/>
                <w:sz w:val="22"/>
                <w:szCs w:val="22"/>
                <w:highlight w:val="cyan"/>
                <w:lang w:eastAsia="es-CO"/>
              </w:rPr>
              <w:t>6</w:t>
            </w:r>
            <w:r w:rsidRPr="002B0F9C">
              <w:rPr>
                <w:rFonts w:ascii="Verdana" w:hAnsi="Verdana" w:cs="Arial"/>
                <w:sz w:val="22"/>
                <w:szCs w:val="22"/>
                <w:highlight w:val="cyan"/>
                <w:lang w:eastAsia="es-CO"/>
              </w:rPr>
              <w:t>.</w:t>
            </w:r>
          </w:p>
          <w:p w14:paraId="42A140C2" w14:textId="77777777" w:rsidR="002A4212" w:rsidRDefault="002A4212">
            <w:pPr>
              <w:jc w:val="both"/>
              <w:rPr>
                <w:rFonts w:ascii="Verdana" w:hAnsi="Verdana" w:cs="Arial"/>
                <w:sz w:val="22"/>
                <w:szCs w:val="22"/>
                <w:lang w:eastAsia="es-CO"/>
              </w:rPr>
            </w:pPr>
          </w:p>
          <w:p w14:paraId="0ACA6BE7" w14:textId="5D3E4F0A" w:rsidR="002A4212" w:rsidRPr="002B0F9C" w:rsidRDefault="002A4212">
            <w:pPr>
              <w:jc w:val="both"/>
              <w:rPr>
                <w:rFonts w:ascii="Verdana" w:hAnsi="Verdana" w:cs="Arial"/>
                <w:sz w:val="22"/>
                <w:szCs w:val="22"/>
                <w:lang w:eastAsia="es-CO"/>
              </w:rPr>
            </w:pPr>
            <w:r>
              <w:rPr>
                <w:rFonts w:ascii="Verdana" w:hAnsi="Verdana" w:cs="Arial"/>
                <w:sz w:val="22"/>
                <w:szCs w:val="22"/>
                <w:lang w:eastAsia="es-CO"/>
              </w:rPr>
              <w:t>Se precisa que el t</w:t>
            </w:r>
            <w:r w:rsidRPr="000A5B8E">
              <w:rPr>
                <w:rFonts w:ascii="Verdana" w:hAnsi="Verdana" w:cs="Arial"/>
                <w:sz w:val="22"/>
                <w:szCs w:val="22"/>
                <w:lang w:eastAsia="es-CO"/>
              </w:rPr>
              <w:t>é</w:t>
            </w:r>
            <w:r>
              <w:rPr>
                <w:rFonts w:ascii="Verdana" w:hAnsi="Verdana" w:cs="Arial"/>
                <w:sz w:val="22"/>
                <w:szCs w:val="22"/>
                <w:lang w:eastAsia="es-CO"/>
              </w:rPr>
              <w:t xml:space="preserve">rmino de divulgación de diez días calendario obedece a que la fórmula que se pretende introducir al proceso de </w:t>
            </w:r>
            <w:r w:rsidRPr="002A4212">
              <w:rPr>
                <w:rFonts w:ascii="Verdana" w:hAnsi="Verdana" w:cs="Arial"/>
                <w:sz w:val="22"/>
                <w:szCs w:val="22"/>
                <w:lang w:eastAsia="es-CO"/>
              </w:rPr>
              <w:t xml:space="preserve">adquisición de predios </w:t>
            </w:r>
            <w:r>
              <w:rPr>
                <w:rFonts w:ascii="Verdana" w:hAnsi="Verdana" w:cs="Arial"/>
                <w:sz w:val="22"/>
                <w:szCs w:val="22"/>
                <w:lang w:eastAsia="es-CO"/>
              </w:rPr>
              <w:t xml:space="preserve">de propiedad privada </w:t>
            </w:r>
            <w:r w:rsidRPr="002A4212">
              <w:rPr>
                <w:rFonts w:ascii="Verdana" w:hAnsi="Verdana" w:cs="Arial"/>
                <w:sz w:val="22"/>
                <w:szCs w:val="22"/>
                <w:lang w:eastAsia="es-CO"/>
              </w:rPr>
              <w:t>y mejoras al interior de las áreas que conforman el Sistema de Parques Nacionales de Colombia</w:t>
            </w:r>
            <w:r>
              <w:rPr>
                <w:rFonts w:ascii="Verdana" w:hAnsi="Verdana" w:cs="Arial"/>
                <w:sz w:val="22"/>
                <w:szCs w:val="22"/>
                <w:lang w:eastAsia="es-CO"/>
              </w:rPr>
              <w:t xml:space="preserve">, existe desde el año 2025 en el procedimiento </w:t>
            </w:r>
            <w:r w:rsidRPr="002A4212">
              <w:rPr>
                <w:rFonts w:ascii="Verdana" w:hAnsi="Verdana" w:cs="Arial"/>
                <w:sz w:val="22"/>
                <w:szCs w:val="22"/>
                <w:lang w:eastAsia="es-CO"/>
              </w:rPr>
              <w:t>de negociación directa para la adquisición de predios rurales</w:t>
            </w:r>
            <w:r>
              <w:rPr>
                <w:rFonts w:ascii="Verdana" w:hAnsi="Verdana" w:cs="Arial"/>
                <w:sz w:val="22"/>
                <w:szCs w:val="22"/>
                <w:lang w:eastAsia="es-CO"/>
              </w:rPr>
              <w:t xml:space="preserve"> en el Sector Agricultura, a partir de la modificación hecha al </w:t>
            </w:r>
            <w:r w:rsidRPr="002A4212">
              <w:rPr>
                <w:rFonts w:ascii="Verdana" w:hAnsi="Verdana" w:cs="Arial"/>
                <w:sz w:val="22"/>
                <w:szCs w:val="22"/>
                <w:lang w:eastAsia="es-CO"/>
              </w:rPr>
              <w:t>artículo 2.2.3.18 del Decreto 1170 de 2015</w:t>
            </w:r>
            <w:r>
              <w:rPr>
                <w:rFonts w:ascii="Verdana" w:hAnsi="Verdana" w:cs="Arial"/>
                <w:sz w:val="22"/>
                <w:szCs w:val="22"/>
                <w:lang w:eastAsia="es-CO"/>
              </w:rPr>
              <w:t xml:space="preserve">, </w:t>
            </w:r>
            <w:r w:rsidR="008F1604">
              <w:rPr>
                <w:rFonts w:ascii="Verdana" w:hAnsi="Verdana" w:cs="Arial"/>
                <w:sz w:val="22"/>
                <w:szCs w:val="22"/>
                <w:lang w:eastAsia="es-CO"/>
              </w:rPr>
              <w:t xml:space="preserve">a través del Decreto 33 de 2025, </w:t>
            </w:r>
            <w:r>
              <w:rPr>
                <w:rFonts w:ascii="Verdana" w:hAnsi="Verdana" w:cs="Arial"/>
                <w:sz w:val="22"/>
                <w:szCs w:val="22"/>
                <w:lang w:eastAsia="es-CO"/>
              </w:rPr>
              <w:t>por lo que no se trata de una medida nueva y en tal sentido debe considerarse que ya fue analizada al momento de su expedición para el Sector Agricultura</w:t>
            </w:r>
            <w:r w:rsidR="008F1604">
              <w:rPr>
                <w:rFonts w:ascii="Verdana" w:hAnsi="Verdana" w:cs="Arial"/>
                <w:sz w:val="22"/>
                <w:szCs w:val="22"/>
                <w:lang w:eastAsia="es-CO"/>
              </w:rPr>
              <w:t xml:space="preserve">, siendo, el término de diez días calendario, un plazo </w:t>
            </w:r>
            <w:r w:rsidR="008F1604" w:rsidRPr="008F1604">
              <w:rPr>
                <w:rFonts w:ascii="Verdana" w:hAnsi="Verdana" w:cs="Arial"/>
                <w:sz w:val="22"/>
                <w:szCs w:val="22"/>
                <w:lang w:eastAsia="es-CO"/>
              </w:rPr>
              <w:t xml:space="preserve">razonable y ajustado a la necesidad de </w:t>
            </w:r>
            <w:r w:rsidR="00867FF3">
              <w:rPr>
                <w:rFonts w:ascii="Verdana" w:hAnsi="Verdana" w:cs="Arial"/>
                <w:sz w:val="22"/>
                <w:szCs w:val="22"/>
                <w:lang w:eastAsia="es-CO"/>
              </w:rPr>
              <w:t xml:space="preserve">esta </w:t>
            </w:r>
            <w:r w:rsidR="008F1604">
              <w:rPr>
                <w:rFonts w:ascii="Verdana" w:hAnsi="Verdana" w:cs="Arial"/>
                <w:sz w:val="22"/>
                <w:szCs w:val="22"/>
                <w:lang w:eastAsia="es-CO"/>
              </w:rPr>
              <w:t xml:space="preserve"> </w:t>
            </w:r>
            <w:r w:rsidR="008F1604" w:rsidRPr="008F1604">
              <w:rPr>
                <w:rFonts w:ascii="Verdana" w:hAnsi="Verdana" w:cs="Arial"/>
                <w:sz w:val="22"/>
                <w:szCs w:val="22"/>
                <w:lang w:eastAsia="es-CO"/>
              </w:rPr>
              <w:t>regulación</w:t>
            </w:r>
            <w:r w:rsidR="008F1604">
              <w:rPr>
                <w:rFonts w:ascii="Verdana" w:hAnsi="Verdana" w:cs="Arial"/>
                <w:sz w:val="22"/>
                <w:szCs w:val="22"/>
                <w:lang w:eastAsia="es-CO"/>
              </w:rPr>
              <w:t>.</w:t>
            </w:r>
          </w:p>
          <w:p w14:paraId="6765F34A" w14:textId="77777777" w:rsidR="000533A8" w:rsidRDefault="000533A8">
            <w:pPr>
              <w:jc w:val="both"/>
              <w:rPr>
                <w:rFonts w:ascii="Verdana" w:hAnsi="Verdana" w:cs="Arial"/>
                <w:i/>
                <w:iCs/>
                <w:sz w:val="22"/>
                <w:szCs w:val="22"/>
                <w:lang w:val="es-CO" w:eastAsia="es-CO"/>
              </w:rPr>
            </w:pPr>
          </w:p>
          <w:p w14:paraId="390AE6DC" w14:textId="48C0FE6E" w:rsidR="008F1604" w:rsidRDefault="008F1604">
            <w:pPr>
              <w:jc w:val="both"/>
              <w:rPr>
                <w:rFonts w:ascii="Verdana" w:hAnsi="Verdana" w:cs="Arial"/>
                <w:sz w:val="22"/>
                <w:szCs w:val="22"/>
                <w:lang w:val="es-CO" w:eastAsia="es-CO"/>
              </w:rPr>
            </w:pPr>
            <w:r w:rsidRPr="000A5B8E">
              <w:rPr>
                <w:rFonts w:ascii="Verdana" w:hAnsi="Verdana" w:cs="Arial"/>
                <w:sz w:val="22"/>
                <w:szCs w:val="22"/>
                <w:lang w:val="es-CO" w:eastAsia="es-CO"/>
              </w:rPr>
              <w:lastRenderedPageBreak/>
              <w:t xml:space="preserve">De esta manera, </w:t>
            </w:r>
            <w:r>
              <w:rPr>
                <w:rFonts w:ascii="Verdana" w:hAnsi="Verdana" w:cs="Arial"/>
                <w:sz w:val="22"/>
                <w:szCs w:val="22"/>
                <w:lang w:val="es-CO" w:eastAsia="es-CO"/>
              </w:rPr>
              <w:t xml:space="preserve">se encuentra justificado que el periodo de consulta pública sea inferior al mínimo general establecido por el artículo </w:t>
            </w:r>
            <w:r w:rsidRPr="009B3CA0">
              <w:rPr>
                <w:rStyle w:val="Textoennegrita"/>
                <w:rFonts w:ascii="Verdana" w:hAnsi="Verdana" w:cs="Arial"/>
                <w:b w:val="0"/>
                <w:color w:val="000000"/>
                <w:sz w:val="22"/>
                <w:szCs w:val="22"/>
              </w:rPr>
              <w:t>2.1.2.5.1.4.</w:t>
            </w:r>
            <w:r w:rsidRPr="009B3CA0">
              <w:rPr>
                <w:rFonts w:ascii="Verdana" w:hAnsi="Verdana" w:cs="Arial"/>
                <w:sz w:val="22"/>
                <w:szCs w:val="22"/>
                <w:lang w:eastAsia="es-CO"/>
              </w:rPr>
              <w:t xml:space="preserve"> del Decreto 385   de 2026</w:t>
            </w:r>
            <w:r>
              <w:rPr>
                <w:rFonts w:ascii="Verdana" w:hAnsi="Verdana" w:cs="Arial"/>
                <w:sz w:val="22"/>
                <w:szCs w:val="22"/>
                <w:lang w:eastAsia="es-CO"/>
              </w:rPr>
              <w:t>, según la excepción fijada en la misma norma.</w:t>
            </w:r>
          </w:p>
          <w:p w14:paraId="32F355A9" w14:textId="77777777" w:rsidR="008F1604" w:rsidRDefault="008F1604">
            <w:pPr>
              <w:jc w:val="both"/>
              <w:rPr>
                <w:rFonts w:ascii="Verdana" w:hAnsi="Verdana" w:cs="Arial"/>
                <w:sz w:val="22"/>
                <w:szCs w:val="22"/>
                <w:lang w:val="es-CO" w:eastAsia="es-CO"/>
              </w:rPr>
            </w:pPr>
          </w:p>
          <w:p w14:paraId="2612DEBB" w14:textId="77777777" w:rsidR="008F1604" w:rsidRPr="000A5B8E" w:rsidRDefault="008F1604" w:rsidP="000A5B8E">
            <w:pPr>
              <w:ind w:left="399" w:right="268"/>
              <w:jc w:val="both"/>
              <w:rPr>
                <w:rFonts w:ascii="Verdana" w:hAnsi="Verdana" w:cs="Arial"/>
                <w:i/>
                <w:lang w:val="es-CO" w:eastAsia="es-CO"/>
              </w:rPr>
            </w:pPr>
            <w:r w:rsidRPr="000A5B8E">
              <w:rPr>
                <w:rFonts w:ascii="Verdana" w:hAnsi="Verdana" w:cs="Arial"/>
                <w:i/>
                <w:lang w:val="es-CO" w:eastAsia="es-CO"/>
              </w:rPr>
              <w:t>Artículo 2.1.2.5.1.4. Términos de la consulta pública. Las entidades a que hace referencia el artículo 2.1.2.1.3 del presente Decreto deberán cumplir como mínimo con las siguientes reglas:</w:t>
            </w:r>
          </w:p>
          <w:p w14:paraId="3CF77B95" w14:textId="77777777" w:rsidR="008F1604" w:rsidRPr="000A5B8E" w:rsidRDefault="008F1604" w:rsidP="000A5B8E">
            <w:pPr>
              <w:ind w:left="399" w:right="268"/>
              <w:jc w:val="both"/>
              <w:rPr>
                <w:rFonts w:ascii="Verdana" w:hAnsi="Verdana" w:cs="Arial"/>
                <w:i/>
                <w:lang w:val="es-CO" w:eastAsia="es-CO"/>
              </w:rPr>
            </w:pPr>
            <w:r w:rsidRPr="000A5B8E">
              <w:rPr>
                <w:rFonts w:ascii="Verdana" w:hAnsi="Verdana" w:cs="Arial"/>
                <w:i/>
                <w:lang w:val="es-CO" w:eastAsia="es-CO"/>
              </w:rPr>
              <w:t xml:space="preserve"> </w:t>
            </w:r>
          </w:p>
          <w:p w14:paraId="7D4CE030" w14:textId="77777777" w:rsidR="008F1604" w:rsidRPr="000A5B8E" w:rsidRDefault="008F1604" w:rsidP="000A5B8E">
            <w:pPr>
              <w:ind w:left="399" w:right="268"/>
              <w:jc w:val="both"/>
              <w:rPr>
                <w:rFonts w:ascii="Verdana" w:hAnsi="Verdana" w:cs="Arial"/>
                <w:i/>
                <w:lang w:val="es-CO" w:eastAsia="es-CO"/>
              </w:rPr>
            </w:pPr>
            <w:r w:rsidRPr="000A5B8E">
              <w:rPr>
                <w:rFonts w:ascii="Verdana" w:hAnsi="Verdana" w:cs="Arial"/>
                <w:i/>
                <w:lang w:val="es-CO" w:eastAsia="es-CO"/>
              </w:rPr>
              <w:t>1. Los proyectos específicos de regulación elaborados para la firma del presidente de la República, junto con la versión preliminar de la memoria justificativa y demás información en que se fundamenten, deberán ser publicados en el Sistema Único de Consulta Pública - SUCOP o el que haga sus veces, por la entidad que lidera el proyecto. Para tal efecto la entidad establecerá un término de consulta pública teniendo en cuenta la materia objeto de regulación, que en todo caso será mínimo de quince (15) días calendario, sin perjuicio de la excepción que más adelante se indica, o de aquella establecida en normas especiales. Los quince (15) días calendario se contarán a partir del día calendario siguiente a la publicación del proyecto específico de regulación.</w:t>
            </w:r>
          </w:p>
          <w:p w14:paraId="09418235" w14:textId="77777777" w:rsidR="008F1604" w:rsidRPr="000A5B8E" w:rsidRDefault="008F1604" w:rsidP="000A5B8E">
            <w:pPr>
              <w:ind w:left="399" w:right="268"/>
              <w:jc w:val="both"/>
              <w:rPr>
                <w:rFonts w:ascii="Verdana" w:hAnsi="Verdana" w:cs="Arial"/>
                <w:i/>
                <w:lang w:val="es-CO" w:eastAsia="es-CO"/>
              </w:rPr>
            </w:pPr>
            <w:r w:rsidRPr="000A5B8E">
              <w:rPr>
                <w:rFonts w:ascii="Verdana" w:hAnsi="Verdana" w:cs="Arial"/>
                <w:i/>
                <w:lang w:val="es-CO" w:eastAsia="es-CO"/>
              </w:rPr>
              <w:t xml:space="preserve"> </w:t>
            </w:r>
          </w:p>
          <w:p w14:paraId="4F1FF2FD" w14:textId="312CECF8" w:rsidR="008F1604" w:rsidRPr="000A5B8E" w:rsidRDefault="008F1604" w:rsidP="000A5B8E">
            <w:pPr>
              <w:ind w:left="399" w:right="268"/>
              <w:jc w:val="both"/>
              <w:rPr>
                <w:rFonts w:ascii="Verdana" w:hAnsi="Verdana" w:cs="Arial"/>
                <w:i/>
                <w:lang w:val="es-CO" w:eastAsia="es-CO"/>
              </w:rPr>
            </w:pPr>
            <w:r w:rsidRPr="000A5B8E">
              <w:rPr>
                <w:rFonts w:ascii="Verdana" w:hAnsi="Verdana" w:cs="Arial"/>
                <w:i/>
                <w:lang w:val="es-CO" w:eastAsia="es-CO"/>
              </w:rPr>
              <w:t>Excepcionalmente, la publicación podrá hacerse por un plazo inferior, siempre que la entidad que lidera el proyecto justifique la necesidad de publicar por menor tiempo. En cualquier caso, el plazo deberá ser razonable y ajustado a la necesidad de la regulación. Estos aspectos deberán ser desarrollados en la memoria justificativa.</w:t>
            </w:r>
          </w:p>
          <w:p w14:paraId="083E1D41" w14:textId="7CD830BE" w:rsidR="008F1604" w:rsidRPr="002B0F9C" w:rsidRDefault="008F1604">
            <w:pPr>
              <w:jc w:val="both"/>
              <w:rPr>
                <w:rFonts w:ascii="Verdana" w:hAnsi="Verdana" w:cs="Arial"/>
                <w:i/>
                <w:iCs/>
                <w:sz w:val="22"/>
                <w:szCs w:val="22"/>
                <w:lang w:val="es-CO" w:eastAsia="es-CO"/>
              </w:rPr>
            </w:pPr>
          </w:p>
        </w:tc>
      </w:tr>
      <w:tr w:rsidR="00DF60FD" w:rsidRPr="002B0F9C" w14:paraId="244FDFE7" w14:textId="77777777" w:rsidTr="001A19B3">
        <w:trPr>
          <w:trHeight w:val="993"/>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51203CE" w14:textId="77777777" w:rsidR="00DF60FD" w:rsidRPr="002B0F9C" w:rsidRDefault="00DF60FD" w:rsidP="002B0F9C">
            <w:pPr>
              <w:numPr>
                <w:ilvl w:val="0"/>
                <w:numId w:val="46"/>
              </w:numPr>
              <w:rPr>
                <w:rFonts w:ascii="Verdana" w:hAnsi="Verdana" w:cs="Arial"/>
                <w:b/>
                <w:sz w:val="22"/>
                <w:szCs w:val="22"/>
              </w:rPr>
            </w:pPr>
            <w:r w:rsidRPr="002B0F9C">
              <w:rPr>
                <w:rFonts w:ascii="Verdana" w:hAnsi="Verdana" w:cs="Arial"/>
                <w:b/>
                <w:sz w:val="22"/>
                <w:szCs w:val="22"/>
              </w:rPr>
              <w:lastRenderedPageBreak/>
              <w:t xml:space="preserve">IMPACTO ECONÓMICO </w:t>
            </w:r>
            <w:r w:rsidR="00D05B67" w:rsidRPr="002B0F9C">
              <w:rPr>
                <w:rFonts w:ascii="Verdana" w:hAnsi="Verdana" w:cs="Arial"/>
                <w:sz w:val="22"/>
                <w:szCs w:val="22"/>
              </w:rPr>
              <w:t>(Si se requiere)</w:t>
            </w:r>
          </w:p>
          <w:p w14:paraId="3CF2D8B6" w14:textId="77777777" w:rsidR="001A15F4" w:rsidRPr="002B0F9C" w:rsidRDefault="001A15F4">
            <w:pPr>
              <w:ind w:left="720"/>
              <w:rPr>
                <w:rFonts w:ascii="Verdana" w:hAnsi="Verdana" w:cs="Arial"/>
                <w:b/>
                <w:sz w:val="22"/>
                <w:szCs w:val="22"/>
              </w:rPr>
            </w:pPr>
          </w:p>
          <w:p w14:paraId="068112B7" w14:textId="283279EC" w:rsidR="000C7C58" w:rsidRPr="002B0F9C" w:rsidRDefault="000C7C58">
            <w:pPr>
              <w:jc w:val="both"/>
              <w:rPr>
                <w:rFonts w:ascii="Verdana" w:hAnsi="Verdana" w:cs="Arial"/>
                <w:sz w:val="22"/>
                <w:szCs w:val="22"/>
                <w:lang w:val="es-CO"/>
              </w:rPr>
            </w:pPr>
            <w:r w:rsidRPr="002B0F9C">
              <w:rPr>
                <w:rFonts w:ascii="Verdana" w:hAnsi="Verdana" w:cs="Arial"/>
                <w:sz w:val="22"/>
                <w:szCs w:val="22"/>
                <w:lang w:val="es-CO"/>
              </w:rPr>
              <w:t>La implementación del proyecto normativo no genera costos adicionales para la Nación ni crea nuevas obligaciones presupuestales para las entidades públicas.</w:t>
            </w:r>
            <w:r w:rsidR="003811C4">
              <w:rPr>
                <w:rFonts w:ascii="Verdana" w:hAnsi="Verdana" w:cs="Arial"/>
                <w:sz w:val="22"/>
                <w:szCs w:val="22"/>
                <w:lang w:val="es-CO"/>
              </w:rPr>
              <w:t xml:space="preserve"> </w:t>
            </w:r>
          </w:p>
          <w:p w14:paraId="20B7B666" w14:textId="77777777" w:rsidR="000C7C58" w:rsidRPr="002B0F9C" w:rsidRDefault="000C7C58">
            <w:pPr>
              <w:jc w:val="both"/>
              <w:rPr>
                <w:rFonts w:ascii="Verdana" w:hAnsi="Verdana" w:cs="Arial"/>
                <w:sz w:val="22"/>
                <w:szCs w:val="22"/>
                <w:lang w:val="es-CO"/>
              </w:rPr>
            </w:pPr>
          </w:p>
          <w:p w14:paraId="42DD1835" w14:textId="561A1958" w:rsidR="000C7C58" w:rsidRPr="002B0F9C" w:rsidRDefault="000C7C58">
            <w:pPr>
              <w:jc w:val="both"/>
              <w:rPr>
                <w:rFonts w:ascii="Verdana" w:hAnsi="Verdana" w:cs="Arial"/>
                <w:sz w:val="22"/>
                <w:szCs w:val="22"/>
                <w:lang w:val="es-CO"/>
              </w:rPr>
            </w:pPr>
            <w:r w:rsidRPr="002B0F9C">
              <w:rPr>
                <w:rFonts w:ascii="Verdana" w:hAnsi="Verdana" w:cs="Arial"/>
                <w:sz w:val="22"/>
                <w:szCs w:val="22"/>
                <w:lang w:val="es-CO"/>
              </w:rPr>
              <w:t>Por el contrario, la ampliación de la vigencia de las ofertas de compra contribuye a optimizar el uso de los recursos públicos destinados a la adquisición de predios y mejoras, al reducir la necesidad de expedir nuevas ofertas</w:t>
            </w:r>
            <w:r w:rsidR="002B0F9C" w:rsidRPr="002B0F9C">
              <w:rPr>
                <w:rFonts w:ascii="Verdana" w:hAnsi="Verdana" w:cs="Arial"/>
                <w:sz w:val="22"/>
                <w:szCs w:val="22"/>
                <w:lang w:val="es-CO"/>
              </w:rPr>
              <w:t xml:space="preserve"> de compra</w:t>
            </w:r>
            <w:r w:rsidRPr="002B0F9C">
              <w:rPr>
                <w:rFonts w:ascii="Verdana" w:hAnsi="Verdana" w:cs="Arial"/>
                <w:sz w:val="22"/>
                <w:szCs w:val="22"/>
                <w:lang w:val="es-CO"/>
              </w:rPr>
              <w:t>, repetir actuaciones administrativas, solicitar nuevamente soportes documentales o adelantar procedimientos que ya han sido surtidos dentro del proceso de negociación.</w:t>
            </w:r>
          </w:p>
          <w:p w14:paraId="36F68917" w14:textId="77777777" w:rsidR="000C7C58" w:rsidRPr="002B0F9C" w:rsidRDefault="000C7C58">
            <w:pPr>
              <w:jc w:val="both"/>
              <w:rPr>
                <w:rFonts w:ascii="Verdana" w:hAnsi="Verdana" w:cs="Arial"/>
                <w:sz w:val="22"/>
                <w:szCs w:val="22"/>
                <w:lang w:val="es-CO"/>
              </w:rPr>
            </w:pPr>
          </w:p>
          <w:p w14:paraId="4D0A2AB5" w14:textId="1809F7C1" w:rsidR="00A17668" w:rsidRPr="002B0F9C" w:rsidRDefault="000C7C58">
            <w:pPr>
              <w:jc w:val="both"/>
              <w:rPr>
                <w:rFonts w:ascii="Verdana" w:hAnsi="Verdana" w:cs="Arial"/>
                <w:sz w:val="22"/>
                <w:szCs w:val="22"/>
                <w:lang w:val="es-CO"/>
              </w:rPr>
            </w:pPr>
            <w:r w:rsidRPr="002B0F9C">
              <w:rPr>
                <w:rFonts w:ascii="Verdana" w:hAnsi="Verdana" w:cs="Arial"/>
                <w:sz w:val="22"/>
                <w:szCs w:val="22"/>
                <w:lang w:val="es-CO"/>
              </w:rPr>
              <w:t>En consecuencia, la medida genera eficiencias administrativas y financieras asociadas a la gestión predial adelantada por Parques Nacionales Naturales de Colombia.</w:t>
            </w:r>
          </w:p>
        </w:tc>
      </w:tr>
      <w:tr w:rsidR="00DF60FD" w:rsidRPr="002B0F9C" w14:paraId="7B930F83" w14:textId="77777777" w:rsidTr="001A1E25">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A33C7C8" w14:textId="77777777" w:rsidR="00DF60FD" w:rsidRPr="002B0F9C" w:rsidRDefault="00795C6B" w:rsidP="002B0F9C">
            <w:pPr>
              <w:numPr>
                <w:ilvl w:val="0"/>
                <w:numId w:val="46"/>
              </w:numPr>
              <w:rPr>
                <w:rFonts w:ascii="Verdana" w:hAnsi="Verdana" w:cs="Arial"/>
                <w:b/>
                <w:sz w:val="22"/>
                <w:szCs w:val="22"/>
              </w:rPr>
            </w:pPr>
            <w:r w:rsidRPr="002B0F9C">
              <w:rPr>
                <w:rFonts w:ascii="Verdana" w:hAnsi="Verdana" w:cs="Arial"/>
                <w:b/>
                <w:sz w:val="22"/>
                <w:szCs w:val="22"/>
              </w:rPr>
              <w:t xml:space="preserve">VIABILIDAD O </w:t>
            </w:r>
            <w:r w:rsidR="00DF60FD" w:rsidRPr="002B0F9C">
              <w:rPr>
                <w:rFonts w:ascii="Verdana" w:hAnsi="Verdana" w:cs="Arial"/>
                <w:b/>
                <w:sz w:val="22"/>
                <w:szCs w:val="22"/>
              </w:rPr>
              <w:t xml:space="preserve">DISPONIBILIDAD PRESUPUESTAL </w:t>
            </w:r>
            <w:r w:rsidR="00D05B67" w:rsidRPr="002B0F9C">
              <w:rPr>
                <w:rFonts w:ascii="Verdana" w:hAnsi="Verdana" w:cs="Arial"/>
                <w:sz w:val="22"/>
                <w:szCs w:val="22"/>
              </w:rPr>
              <w:t>(Si se requiere)</w:t>
            </w:r>
          </w:p>
          <w:p w14:paraId="1FC39945" w14:textId="77777777" w:rsidR="001A15F4" w:rsidRPr="002B0F9C" w:rsidRDefault="001A15F4">
            <w:pPr>
              <w:pStyle w:val="NormalWeb"/>
              <w:shd w:val="clear" w:color="auto" w:fill="FFFFFF"/>
              <w:spacing w:before="0" w:beforeAutospacing="0" w:after="0" w:afterAutospacing="0"/>
              <w:ind w:left="708"/>
              <w:jc w:val="both"/>
              <w:rPr>
                <w:rFonts w:ascii="Verdana" w:hAnsi="Verdana" w:cs="Arial"/>
                <w:sz w:val="22"/>
                <w:szCs w:val="22"/>
              </w:rPr>
            </w:pPr>
          </w:p>
          <w:p w14:paraId="29D6B04F" w14:textId="5455F39A" w:rsidR="00696582" w:rsidRPr="002B0F9C" w:rsidRDefault="000533A8">
            <w:pPr>
              <w:pStyle w:val="NormalWeb"/>
              <w:shd w:val="clear" w:color="auto" w:fill="FFFFFF"/>
              <w:spacing w:before="0" w:beforeAutospacing="0" w:after="0" w:afterAutospacing="0"/>
              <w:jc w:val="both"/>
              <w:rPr>
                <w:rFonts w:ascii="Verdana" w:hAnsi="Verdana" w:cs="Arial"/>
                <w:i/>
                <w:sz w:val="22"/>
                <w:szCs w:val="22"/>
              </w:rPr>
            </w:pPr>
            <w:r w:rsidRPr="002B0F9C">
              <w:rPr>
                <w:rFonts w:ascii="Verdana" w:eastAsia="Times New Roman" w:hAnsi="Verdana" w:cs="Arial"/>
                <w:sz w:val="22"/>
                <w:szCs w:val="22"/>
              </w:rPr>
              <w:t>No se requieren inversiones debido a que no se prevén costos adicionales</w:t>
            </w:r>
            <w:r w:rsidRPr="002B0F9C">
              <w:rPr>
                <w:rFonts w:ascii="Verdana" w:hAnsi="Verdana" w:cs="Arial"/>
                <w:i/>
                <w:sz w:val="22"/>
                <w:szCs w:val="22"/>
              </w:rPr>
              <w:t xml:space="preserve">. </w:t>
            </w:r>
          </w:p>
        </w:tc>
      </w:tr>
      <w:tr w:rsidR="00DF60FD" w:rsidRPr="002B0F9C" w14:paraId="78C686D6" w14:textId="77777777" w:rsidTr="001A1E25">
        <w:trPr>
          <w:trHeight w:val="687"/>
        </w:trPr>
        <w:tc>
          <w:tcPr>
            <w:tcW w:w="10774" w:type="dxa"/>
            <w:gridSpan w:val="3"/>
            <w:tcBorders>
              <w:top w:val="single" w:sz="4" w:space="0" w:color="auto"/>
              <w:bottom w:val="single" w:sz="4" w:space="0" w:color="auto"/>
            </w:tcBorders>
            <w:shd w:val="clear" w:color="auto" w:fill="FFFFFF"/>
            <w:vAlign w:val="center"/>
          </w:tcPr>
          <w:p w14:paraId="38B888DA" w14:textId="77777777" w:rsidR="00DF60FD" w:rsidRPr="002B0F9C" w:rsidRDefault="00DF60FD" w:rsidP="002B0F9C">
            <w:pPr>
              <w:numPr>
                <w:ilvl w:val="0"/>
                <w:numId w:val="46"/>
              </w:numPr>
              <w:jc w:val="both"/>
              <w:rPr>
                <w:rFonts w:ascii="Verdana" w:hAnsi="Verdana" w:cs="Arial"/>
                <w:b/>
                <w:sz w:val="22"/>
                <w:szCs w:val="22"/>
              </w:rPr>
            </w:pPr>
            <w:r w:rsidRPr="002B0F9C">
              <w:rPr>
                <w:rFonts w:ascii="Verdana" w:hAnsi="Verdana" w:cs="Arial"/>
                <w:b/>
                <w:sz w:val="22"/>
                <w:szCs w:val="22"/>
              </w:rPr>
              <w:t xml:space="preserve">IMPACTO MEDIOAMBIENTAL O SOBRE EL PATRIMONIO CULTURAL DE LA NACIÓN </w:t>
            </w:r>
            <w:r w:rsidR="00D05B67" w:rsidRPr="002B0F9C">
              <w:rPr>
                <w:rFonts w:ascii="Verdana" w:hAnsi="Verdana" w:cs="Arial"/>
                <w:sz w:val="22"/>
                <w:szCs w:val="22"/>
              </w:rPr>
              <w:t>(Si se requiere)</w:t>
            </w:r>
          </w:p>
          <w:p w14:paraId="0562CB0E" w14:textId="77777777" w:rsidR="001A15F4" w:rsidRPr="002B0F9C" w:rsidRDefault="001A15F4">
            <w:pPr>
              <w:ind w:left="778"/>
              <w:jc w:val="both"/>
              <w:rPr>
                <w:rFonts w:ascii="Verdana" w:hAnsi="Verdana" w:cs="Arial"/>
                <w:iCs/>
                <w:sz w:val="22"/>
                <w:szCs w:val="22"/>
              </w:rPr>
            </w:pPr>
          </w:p>
          <w:p w14:paraId="5CE8A2C5" w14:textId="77777777" w:rsidR="000533A8" w:rsidRPr="002B0F9C" w:rsidRDefault="000533A8">
            <w:pPr>
              <w:jc w:val="both"/>
              <w:rPr>
                <w:rFonts w:ascii="Verdana" w:hAnsi="Verdana" w:cs="Arial"/>
                <w:color w:val="000000"/>
                <w:sz w:val="22"/>
                <w:szCs w:val="22"/>
              </w:rPr>
            </w:pPr>
            <w:r w:rsidRPr="002B0F9C">
              <w:rPr>
                <w:rFonts w:ascii="Verdana" w:hAnsi="Verdana" w:cs="Arial"/>
                <w:color w:val="000000"/>
                <w:sz w:val="22"/>
                <w:szCs w:val="22"/>
              </w:rPr>
              <w:t xml:space="preserve">Teniendo en cuenta que la adquisición de predios y mejoras es un mecanismo que contribuye a la regularización de la propiedad en las áreas protegidas del Sistema de Parques Nacionales Naturales, en tanto: i) permite superar las conflictividades que se evidencian por las limitaciones </w:t>
            </w:r>
            <w:r w:rsidRPr="002B0F9C">
              <w:rPr>
                <w:rFonts w:ascii="Verdana" w:hAnsi="Verdana" w:cs="Arial"/>
                <w:color w:val="000000"/>
                <w:sz w:val="22"/>
                <w:szCs w:val="22"/>
              </w:rPr>
              <w:lastRenderedPageBreak/>
              <w:t>legales en el uso y tenencia de tierras, ii) garantiza la protección de la biodiversidad y de los servicios ecosistémicos que soportan las dinámicas social, económica y cultural de la humanidad, iii) contribuye a la mitigación de las presiones existentes sobre las áreas protegidas y, iv) favorece la recuperación de ecosistemas degradados y de especies amenazadas, se considera que con este decreto se optimizará el proceso de adquisición por enajenación voluntaria, con un menor desgaste administrativo.</w:t>
            </w:r>
          </w:p>
          <w:p w14:paraId="2F459F24" w14:textId="77777777" w:rsidR="001A15F4" w:rsidRPr="002B0F9C" w:rsidRDefault="001A15F4">
            <w:pPr>
              <w:jc w:val="both"/>
              <w:rPr>
                <w:rFonts w:ascii="Verdana" w:hAnsi="Verdana" w:cs="Arial"/>
                <w:iCs/>
                <w:sz w:val="22"/>
                <w:szCs w:val="22"/>
              </w:rPr>
            </w:pPr>
          </w:p>
          <w:p w14:paraId="4990375F" w14:textId="77777777" w:rsidR="000C7C58" w:rsidRPr="002B0F9C" w:rsidRDefault="000C7C58">
            <w:pPr>
              <w:jc w:val="both"/>
              <w:rPr>
                <w:rFonts w:ascii="Verdana" w:hAnsi="Verdana" w:cs="Arial"/>
                <w:iCs/>
                <w:sz w:val="22"/>
                <w:szCs w:val="22"/>
              </w:rPr>
            </w:pPr>
          </w:p>
          <w:p w14:paraId="3CA9200A" w14:textId="77777777" w:rsidR="000C7C58" w:rsidRPr="002B0F9C" w:rsidRDefault="000C7C58">
            <w:pPr>
              <w:jc w:val="both"/>
              <w:rPr>
                <w:rFonts w:ascii="Verdana" w:hAnsi="Verdana" w:cs="Arial"/>
                <w:color w:val="000000"/>
                <w:sz w:val="22"/>
                <w:szCs w:val="22"/>
              </w:rPr>
            </w:pPr>
            <w:r w:rsidRPr="002B0F9C">
              <w:rPr>
                <w:rFonts w:ascii="Verdana" w:hAnsi="Verdana" w:cs="Arial"/>
                <w:color w:val="000000"/>
                <w:sz w:val="22"/>
                <w:szCs w:val="22"/>
              </w:rPr>
              <w:t>Así mismo, la medida contribuye al cumplimiento de las acciones institucionales derivadas de decisiones judiciales relacionadas con la protección de áreas protegidas, como las previstas en la Sentencia STC 3872 de 2020 respecto de la Vía Parque Isla de Salamanca, en la medida en que facilita la ejecución de estrategias de saneamiento predial orientadas a disminuir presiones antrópicas, fortalecer la gobernanza ambiental y consolidar procesos de restauración y recuperación ecológica.</w:t>
            </w:r>
          </w:p>
          <w:p w14:paraId="636637F8" w14:textId="5C665570" w:rsidR="000C7C58" w:rsidRPr="002B0F9C" w:rsidRDefault="000C7C58">
            <w:pPr>
              <w:jc w:val="both"/>
              <w:rPr>
                <w:rFonts w:ascii="Verdana" w:hAnsi="Verdana" w:cs="Arial"/>
                <w:iCs/>
                <w:sz w:val="22"/>
                <w:szCs w:val="22"/>
              </w:rPr>
            </w:pPr>
          </w:p>
        </w:tc>
      </w:tr>
      <w:tr w:rsidR="00DF60FD" w:rsidRPr="002B0F9C" w14:paraId="2A3402D3" w14:textId="77777777" w:rsidTr="001A1E25">
        <w:trPr>
          <w:trHeight w:val="317"/>
        </w:trPr>
        <w:tc>
          <w:tcPr>
            <w:tcW w:w="10774" w:type="dxa"/>
            <w:gridSpan w:val="3"/>
            <w:tcBorders>
              <w:top w:val="single" w:sz="4" w:space="0" w:color="auto"/>
              <w:bottom w:val="single" w:sz="4" w:space="0" w:color="auto"/>
            </w:tcBorders>
            <w:shd w:val="clear" w:color="auto" w:fill="FFFFFF"/>
            <w:vAlign w:val="center"/>
          </w:tcPr>
          <w:p w14:paraId="6BB9E253" w14:textId="3B3A4E75" w:rsidR="0009713F" w:rsidRPr="002B0F9C" w:rsidRDefault="00D05B67" w:rsidP="002B0F9C">
            <w:pPr>
              <w:numPr>
                <w:ilvl w:val="0"/>
                <w:numId w:val="46"/>
              </w:numPr>
              <w:jc w:val="both"/>
              <w:rPr>
                <w:rFonts w:ascii="Verdana" w:hAnsi="Verdana" w:cs="Arial"/>
                <w:sz w:val="22"/>
                <w:szCs w:val="22"/>
              </w:rPr>
            </w:pPr>
            <w:r w:rsidRPr="002B0F9C">
              <w:rPr>
                <w:rFonts w:ascii="Verdana" w:hAnsi="Verdana" w:cs="Arial"/>
                <w:b/>
                <w:sz w:val="22"/>
                <w:szCs w:val="22"/>
              </w:rPr>
              <w:lastRenderedPageBreak/>
              <w:t>ESTUDIOS TÉCNICOS QUE SUSTENTEN EL PROYECTO NORMATIVO</w:t>
            </w:r>
            <w:r w:rsidRPr="002B0F9C">
              <w:rPr>
                <w:rFonts w:ascii="Verdana" w:hAnsi="Verdana" w:cs="Arial"/>
                <w:sz w:val="22"/>
                <w:szCs w:val="22"/>
              </w:rPr>
              <w:t xml:space="preserve"> </w:t>
            </w:r>
            <w:r w:rsidR="008F1DE8" w:rsidRPr="002B0F9C">
              <w:rPr>
                <w:rFonts w:ascii="Verdana" w:hAnsi="Verdana" w:cs="Arial"/>
                <w:sz w:val="22"/>
                <w:szCs w:val="22"/>
              </w:rPr>
              <w:t>(incluye el análisis de la</w:t>
            </w:r>
            <w:r w:rsidR="008B6829" w:rsidRPr="002B0F9C">
              <w:rPr>
                <w:rFonts w:ascii="Verdana" w:hAnsi="Verdana" w:cs="Arial"/>
                <w:sz w:val="22"/>
                <w:szCs w:val="22"/>
              </w:rPr>
              <w:t xml:space="preserve"> </w:t>
            </w:r>
            <w:r w:rsidR="008F1DE8" w:rsidRPr="002B0F9C">
              <w:rPr>
                <w:rFonts w:ascii="Verdana" w:hAnsi="Verdana" w:cs="Arial"/>
                <w:sz w:val="22"/>
                <w:szCs w:val="22"/>
              </w:rPr>
              <w:t>problemática existente, sustento técnico del proyecto de norma y bibliografía sobre el tema, esta última si existe)</w:t>
            </w:r>
          </w:p>
          <w:p w14:paraId="11518149" w14:textId="77777777" w:rsidR="00444AA5" w:rsidRPr="002B0F9C" w:rsidRDefault="00444AA5">
            <w:pPr>
              <w:rPr>
                <w:rFonts w:ascii="Verdana" w:hAnsi="Verdana" w:cs="Arial"/>
                <w:sz w:val="22"/>
                <w:szCs w:val="22"/>
              </w:rPr>
            </w:pPr>
          </w:p>
          <w:p w14:paraId="757B5D50" w14:textId="77777777" w:rsidR="000C7C58" w:rsidRPr="002B0F9C" w:rsidRDefault="000C7C58">
            <w:pPr>
              <w:jc w:val="both"/>
              <w:rPr>
                <w:rFonts w:ascii="Verdana" w:hAnsi="Verdana" w:cs="Arial"/>
                <w:sz w:val="22"/>
                <w:szCs w:val="22"/>
              </w:rPr>
            </w:pPr>
            <w:r w:rsidRPr="002B0F9C">
              <w:rPr>
                <w:rFonts w:ascii="Verdana" w:hAnsi="Verdana" w:cs="Arial"/>
                <w:sz w:val="22"/>
                <w:szCs w:val="22"/>
              </w:rPr>
              <w:t>El proyecto normativo se sustenta en el análisis institucional realizado por Parques Nacionales Naturales de Colombia respecto de los procesos de adquisición de predios y mejoras al interior de las áreas protegidas del Sistema de Parques Nacionales Naturales.</w:t>
            </w:r>
          </w:p>
          <w:p w14:paraId="18B7B449" w14:textId="77777777" w:rsidR="000C7C58" w:rsidRPr="002B0F9C" w:rsidRDefault="000C7C58">
            <w:pPr>
              <w:jc w:val="both"/>
              <w:rPr>
                <w:rFonts w:ascii="Verdana" w:hAnsi="Verdana" w:cs="Arial"/>
                <w:sz w:val="22"/>
                <w:szCs w:val="22"/>
              </w:rPr>
            </w:pPr>
          </w:p>
          <w:p w14:paraId="5A8C0F7D" w14:textId="77777777" w:rsidR="000C7C58" w:rsidRPr="002B0F9C" w:rsidRDefault="000C7C58">
            <w:pPr>
              <w:jc w:val="both"/>
              <w:rPr>
                <w:rFonts w:ascii="Verdana" w:hAnsi="Verdana" w:cs="Arial"/>
                <w:sz w:val="22"/>
                <w:szCs w:val="22"/>
              </w:rPr>
            </w:pPr>
            <w:r w:rsidRPr="002B0F9C">
              <w:rPr>
                <w:rFonts w:ascii="Verdana" w:hAnsi="Verdana" w:cs="Arial"/>
                <w:sz w:val="22"/>
                <w:szCs w:val="22"/>
              </w:rPr>
              <w:t>Dicho análisis evidencia que los procedimientos de adquisición suelen requerir periodos prolongados para la obtención de disponibilidad presupuestal, la consolidación de requisitos técnicos y jurídicos, la gestión documental de los propietarios y ocupantes, la realización de trámites registrales y catastrales, así como la formalización de los respectivos negocios jurídicos.</w:t>
            </w:r>
          </w:p>
          <w:p w14:paraId="4A3B0660" w14:textId="77777777" w:rsidR="000C7C58" w:rsidRPr="002B0F9C" w:rsidRDefault="000C7C58">
            <w:pPr>
              <w:jc w:val="both"/>
              <w:rPr>
                <w:rFonts w:ascii="Verdana" w:hAnsi="Verdana" w:cs="Arial"/>
                <w:sz w:val="22"/>
                <w:szCs w:val="22"/>
              </w:rPr>
            </w:pPr>
          </w:p>
          <w:p w14:paraId="55707427" w14:textId="77777777" w:rsidR="000C7C58" w:rsidRPr="002B0F9C" w:rsidRDefault="000C7C58">
            <w:pPr>
              <w:jc w:val="both"/>
              <w:rPr>
                <w:rFonts w:ascii="Verdana" w:hAnsi="Verdana" w:cs="Arial"/>
                <w:sz w:val="22"/>
                <w:szCs w:val="22"/>
              </w:rPr>
            </w:pPr>
            <w:r w:rsidRPr="002B0F9C">
              <w:rPr>
                <w:rFonts w:ascii="Verdana" w:hAnsi="Verdana" w:cs="Arial"/>
                <w:sz w:val="22"/>
                <w:szCs w:val="22"/>
              </w:rPr>
              <w:t>De igual manera, se tuvieron en cuenta los antecedentes derivados de la implementación de acciones de saneamiento predial en áreas protegidas, particularmente aquellas relacionadas con el cumplimiento de la Sentencia STC 3872 de 2020 proferida por la Sala de Casación Civil y Agraria de la Corte Suprema de Justicia respecto de la Vía Parque Isla de Salamanca, dentro de la cual se identificó la necesidad de adelantar procesos de clarificación y saneamiento de la propiedad mediante la adquisición de predios y mejoras.</w:t>
            </w:r>
          </w:p>
          <w:p w14:paraId="5624EFDB" w14:textId="77777777" w:rsidR="000C7C58" w:rsidRPr="002B0F9C" w:rsidRDefault="000C7C58">
            <w:pPr>
              <w:jc w:val="both"/>
              <w:rPr>
                <w:rFonts w:ascii="Verdana" w:hAnsi="Verdana" w:cs="Arial"/>
                <w:sz w:val="22"/>
                <w:szCs w:val="22"/>
              </w:rPr>
            </w:pPr>
          </w:p>
          <w:p w14:paraId="62128FC7" w14:textId="77777777" w:rsidR="000C7C58" w:rsidRPr="002B0F9C" w:rsidRDefault="000C7C58">
            <w:pPr>
              <w:jc w:val="both"/>
              <w:rPr>
                <w:rFonts w:ascii="Verdana" w:hAnsi="Verdana" w:cs="Arial"/>
                <w:sz w:val="22"/>
                <w:szCs w:val="22"/>
              </w:rPr>
            </w:pPr>
            <w:r w:rsidRPr="002B0F9C">
              <w:rPr>
                <w:rFonts w:ascii="Verdana" w:hAnsi="Verdana" w:cs="Arial"/>
                <w:sz w:val="22"/>
                <w:szCs w:val="22"/>
              </w:rPr>
              <w:t>Los insumos técnicos y jurídicos analizados permiten concluir que la ampliación de la vigencia de las ofertas de compra constituye una medida razonable y proporcional para garantizar la continuidad de los procesos de adquisición, mejorar la eficiencia administrativa, fortalecer la seguridad jurídica y contribuir al cumplimiento de los objetivos de conservación y saneamiento predial de las áreas protegidas administradas por Parques Nacionales Naturales de Colombia.</w:t>
            </w:r>
          </w:p>
          <w:p w14:paraId="52E56223" w14:textId="0760B422" w:rsidR="000C7C58" w:rsidRPr="002B0F9C" w:rsidRDefault="000C7C58">
            <w:pPr>
              <w:rPr>
                <w:rFonts w:ascii="Verdana" w:hAnsi="Verdana" w:cs="Arial"/>
                <w:sz w:val="22"/>
                <w:szCs w:val="22"/>
              </w:rPr>
            </w:pPr>
          </w:p>
        </w:tc>
      </w:tr>
      <w:tr w:rsidR="00DF60FD" w:rsidRPr="002B0F9C" w14:paraId="0A6959E7" w14:textId="77777777" w:rsidTr="00D82FA2">
        <w:trPr>
          <w:trHeight w:val="416"/>
        </w:trPr>
        <w:tc>
          <w:tcPr>
            <w:tcW w:w="10774" w:type="dxa"/>
            <w:gridSpan w:val="3"/>
            <w:tcBorders>
              <w:top w:val="single" w:sz="4" w:space="0" w:color="auto"/>
              <w:bottom w:val="single" w:sz="4" w:space="0" w:color="auto"/>
            </w:tcBorders>
            <w:shd w:val="clear" w:color="auto" w:fill="154A8A"/>
            <w:vAlign w:val="center"/>
          </w:tcPr>
          <w:p w14:paraId="100C5B58" w14:textId="77777777" w:rsidR="00F55DC4" w:rsidRPr="002B0F9C" w:rsidRDefault="008A419F" w:rsidP="002B0F9C">
            <w:pPr>
              <w:jc w:val="center"/>
              <w:rPr>
                <w:rFonts w:ascii="Verdana" w:hAnsi="Verdana" w:cs="Arial"/>
                <w:sz w:val="22"/>
                <w:szCs w:val="22"/>
              </w:rPr>
            </w:pPr>
            <w:r w:rsidRPr="002B0F9C">
              <w:rPr>
                <w:rFonts w:ascii="Verdana" w:hAnsi="Verdana" w:cs="Arial"/>
                <w:b/>
                <w:sz w:val="22"/>
                <w:szCs w:val="22"/>
              </w:rPr>
              <w:t xml:space="preserve"> </w:t>
            </w:r>
          </w:p>
        </w:tc>
      </w:tr>
      <w:tr w:rsidR="00D05B67" w:rsidRPr="002B0F9C" w14:paraId="7FB63600"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428D08BF" w14:textId="77777777" w:rsidR="00D05B67" w:rsidRPr="002B0F9C" w:rsidRDefault="00D05B67" w:rsidP="002B0F9C">
            <w:pPr>
              <w:jc w:val="both"/>
              <w:rPr>
                <w:rFonts w:ascii="Verdana" w:hAnsi="Verdana" w:cs="Arial"/>
                <w:sz w:val="22"/>
                <w:szCs w:val="22"/>
              </w:rPr>
            </w:pPr>
            <w:r w:rsidRPr="002B0F9C">
              <w:rPr>
                <w:rFonts w:ascii="Verdana" w:hAnsi="Verdana" w:cs="Arial"/>
                <w:sz w:val="22"/>
                <w:szCs w:val="22"/>
              </w:rPr>
              <w:lastRenderedPageBreak/>
              <w:t xml:space="preserve">Certificación de cumplimiento de requisitos de consulta, publicidad y de incorporación en la agenda regulatoria </w:t>
            </w:r>
          </w:p>
          <w:p w14:paraId="714F9EE4" w14:textId="77777777" w:rsidR="00D05B67" w:rsidRPr="002B0F9C" w:rsidRDefault="00D05B67">
            <w:pPr>
              <w:jc w:val="both"/>
              <w:rPr>
                <w:rFonts w:ascii="Verdana" w:hAnsi="Verdana" w:cs="Arial"/>
                <w:i/>
                <w:sz w:val="22"/>
                <w:szCs w:val="22"/>
              </w:rPr>
            </w:pPr>
            <w:r w:rsidRPr="002B0F9C">
              <w:rPr>
                <w:rFonts w:ascii="Verdana" w:hAnsi="Verdana" w:cs="Arial"/>
                <w:i/>
                <w:sz w:val="22"/>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vAlign w:val="center"/>
          </w:tcPr>
          <w:p w14:paraId="33096EF0" w14:textId="56A2D32D" w:rsidR="00D05B67" w:rsidRPr="002B0F9C" w:rsidRDefault="000533A8">
            <w:pPr>
              <w:jc w:val="both"/>
              <w:rPr>
                <w:rFonts w:ascii="Verdana" w:hAnsi="Verdana" w:cs="Arial"/>
                <w:i/>
                <w:sz w:val="22"/>
                <w:szCs w:val="22"/>
              </w:rPr>
            </w:pPr>
            <w:r w:rsidRPr="002B0F9C">
              <w:rPr>
                <w:rFonts w:ascii="Verdana" w:hAnsi="Verdana" w:cs="Arial"/>
                <w:i/>
                <w:sz w:val="22"/>
                <w:szCs w:val="22"/>
              </w:rPr>
              <w:t>No aplica</w:t>
            </w:r>
          </w:p>
        </w:tc>
      </w:tr>
      <w:tr w:rsidR="00D05B67" w:rsidRPr="002B0F9C" w14:paraId="37A0D0F3"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9508C8F" w14:textId="77777777" w:rsidR="00D05B67" w:rsidRPr="002B0F9C" w:rsidRDefault="00D05B67" w:rsidP="002B0F9C">
            <w:pPr>
              <w:jc w:val="both"/>
              <w:rPr>
                <w:rFonts w:ascii="Verdana" w:hAnsi="Verdana" w:cs="Arial"/>
                <w:sz w:val="22"/>
                <w:szCs w:val="22"/>
              </w:rPr>
            </w:pPr>
            <w:r w:rsidRPr="002B0F9C">
              <w:rPr>
                <w:rFonts w:ascii="Verdana" w:hAnsi="Verdana" w:cs="Arial"/>
                <w:sz w:val="22"/>
                <w:szCs w:val="22"/>
              </w:rPr>
              <w:t>Concepto</w:t>
            </w:r>
            <w:r w:rsidR="005F30C3" w:rsidRPr="002B0F9C">
              <w:rPr>
                <w:rFonts w:ascii="Verdana" w:hAnsi="Verdana" w:cs="Arial"/>
                <w:sz w:val="22"/>
                <w:szCs w:val="22"/>
              </w:rPr>
              <w:t>(s)</w:t>
            </w:r>
            <w:r w:rsidRPr="002B0F9C">
              <w:rPr>
                <w:rFonts w:ascii="Verdana" w:hAnsi="Verdana" w:cs="Arial"/>
                <w:sz w:val="22"/>
                <w:szCs w:val="22"/>
              </w:rPr>
              <w:t xml:space="preserve"> de Min</w:t>
            </w:r>
            <w:r w:rsidR="005F30C3" w:rsidRPr="002B0F9C">
              <w:rPr>
                <w:rFonts w:ascii="Verdana" w:hAnsi="Verdana" w:cs="Arial"/>
                <w:sz w:val="22"/>
                <w:szCs w:val="22"/>
              </w:rPr>
              <w:t>isterio de</w:t>
            </w:r>
            <w:r w:rsidRPr="002B0F9C">
              <w:rPr>
                <w:rFonts w:ascii="Verdana" w:hAnsi="Verdana" w:cs="Arial"/>
                <w:sz w:val="22"/>
                <w:szCs w:val="22"/>
              </w:rPr>
              <w:t xml:space="preserve"> Comercio</w:t>
            </w:r>
            <w:r w:rsidR="005F30C3" w:rsidRPr="002B0F9C">
              <w:rPr>
                <w:rFonts w:ascii="Verdana" w:hAnsi="Verdana" w:cs="Arial"/>
                <w:sz w:val="22"/>
                <w:szCs w:val="22"/>
              </w:rPr>
              <w:t>, Industria y Turismo</w:t>
            </w:r>
          </w:p>
          <w:p w14:paraId="66FBDB1C" w14:textId="77777777" w:rsidR="00D05B67" w:rsidRPr="002B0F9C" w:rsidRDefault="005F30C3">
            <w:pPr>
              <w:jc w:val="both"/>
              <w:rPr>
                <w:rFonts w:ascii="Verdana" w:hAnsi="Verdana" w:cs="Arial"/>
                <w:i/>
                <w:sz w:val="22"/>
                <w:szCs w:val="22"/>
              </w:rPr>
            </w:pPr>
            <w:r w:rsidRPr="002B0F9C">
              <w:rPr>
                <w:rFonts w:ascii="Verdana" w:hAnsi="Verdana" w:cs="Arial"/>
                <w:i/>
                <w:sz w:val="22"/>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vAlign w:val="center"/>
          </w:tcPr>
          <w:p w14:paraId="5DFAC6C8" w14:textId="3C54A7FB" w:rsidR="00D05B67" w:rsidRPr="002B0F9C" w:rsidRDefault="000533A8">
            <w:pPr>
              <w:jc w:val="both"/>
              <w:rPr>
                <w:rFonts w:ascii="Verdana" w:hAnsi="Verdana" w:cs="Arial"/>
                <w:sz w:val="22"/>
                <w:szCs w:val="22"/>
              </w:rPr>
            </w:pPr>
            <w:r w:rsidRPr="002B0F9C">
              <w:rPr>
                <w:rFonts w:ascii="Verdana" w:hAnsi="Verdana" w:cs="Arial"/>
                <w:i/>
                <w:sz w:val="22"/>
                <w:szCs w:val="22"/>
              </w:rPr>
              <w:t>No aplica</w:t>
            </w:r>
          </w:p>
        </w:tc>
      </w:tr>
      <w:tr w:rsidR="005F30C3" w:rsidRPr="002B0F9C" w14:paraId="490EF797"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2274C83A" w14:textId="77777777" w:rsidR="005F30C3" w:rsidRPr="002B0F9C" w:rsidRDefault="005F30C3" w:rsidP="002B0F9C">
            <w:pPr>
              <w:jc w:val="both"/>
              <w:rPr>
                <w:rFonts w:ascii="Verdana" w:hAnsi="Verdana" w:cs="Arial"/>
                <w:sz w:val="22"/>
                <w:szCs w:val="22"/>
              </w:rPr>
            </w:pPr>
            <w:r w:rsidRPr="002B0F9C">
              <w:rPr>
                <w:rFonts w:ascii="Verdana" w:hAnsi="Verdana" w:cs="Arial"/>
                <w:sz w:val="22"/>
                <w:szCs w:val="22"/>
              </w:rPr>
              <w:t xml:space="preserve">Informe de observaciones y respuestas </w:t>
            </w:r>
          </w:p>
          <w:p w14:paraId="266A1F27" w14:textId="77777777" w:rsidR="005F30C3" w:rsidRPr="002B0F9C" w:rsidRDefault="005F30C3" w:rsidP="002B0F9C">
            <w:pPr>
              <w:jc w:val="both"/>
              <w:rPr>
                <w:rFonts w:ascii="Verdana" w:hAnsi="Verdana" w:cs="Arial"/>
                <w:i/>
                <w:sz w:val="22"/>
                <w:szCs w:val="22"/>
              </w:rPr>
            </w:pPr>
            <w:r w:rsidRPr="002B0F9C">
              <w:rPr>
                <w:rFonts w:ascii="Verdana" w:hAnsi="Verdana" w:cs="Arial"/>
                <w:i/>
                <w:sz w:val="22"/>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vAlign w:val="center"/>
          </w:tcPr>
          <w:p w14:paraId="7E0CB7FE" w14:textId="573BBF05" w:rsidR="005F30C3" w:rsidRPr="002B0F9C" w:rsidRDefault="000533A8">
            <w:pPr>
              <w:jc w:val="both"/>
              <w:rPr>
                <w:rFonts w:ascii="Verdana" w:hAnsi="Verdana" w:cs="Arial"/>
                <w:sz w:val="22"/>
                <w:szCs w:val="22"/>
              </w:rPr>
            </w:pPr>
            <w:r w:rsidRPr="002B0F9C">
              <w:rPr>
                <w:rFonts w:ascii="Verdana" w:hAnsi="Verdana" w:cs="Arial"/>
                <w:i/>
                <w:sz w:val="22"/>
                <w:szCs w:val="22"/>
              </w:rPr>
              <w:t>No aplica</w:t>
            </w:r>
          </w:p>
        </w:tc>
      </w:tr>
      <w:tr w:rsidR="005F30C3" w:rsidRPr="002B0F9C" w14:paraId="10362F55"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376EB69F" w14:textId="77777777" w:rsidR="005F30C3" w:rsidRPr="002B0F9C" w:rsidRDefault="005F30C3" w:rsidP="002B0F9C">
            <w:pPr>
              <w:jc w:val="both"/>
              <w:rPr>
                <w:rFonts w:ascii="Verdana" w:hAnsi="Verdana" w:cs="Arial"/>
                <w:sz w:val="22"/>
                <w:szCs w:val="22"/>
              </w:rPr>
            </w:pPr>
            <w:r w:rsidRPr="002B0F9C">
              <w:rPr>
                <w:rFonts w:ascii="Verdana" w:hAnsi="Verdana" w:cs="Arial"/>
                <w:sz w:val="22"/>
                <w:szCs w:val="22"/>
              </w:rPr>
              <w:t>Concepto de Abogacía de la Competencia de la Superintendencia de Industria y Comercio</w:t>
            </w:r>
          </w:p>
          <w:p w14:paraId="7FEE1A87" w14:textId="77777777" w:rsidR="005F30C3" w:rsidRPr="002B0F9C" w:rsidRDefault="005F30C3">
            <w:pPr>
              <w:jc w:val="both"/>
              <w:rPr>
                <w:rFonts w:ascii="Verdana" w:hAnsi="Verdana" w:cs="Arial"/>
                <w:i/>
                <w:sz w:val="22"/>
                <w:szCs w:val="22"/>
              </w:rPr>
            </w:pPr>
            <w:r w:rsidRPr="002B0F9C">
              <w:rPr>
                <w:rFonts w:ascii="Verdana" w:hAnsi="Verdana" w:cs="Arial"/>
                <w:i/>
                <w:sz w:val="22"/>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vAlign w:val="center"/>
          </w:tcPr>
          <w:p w14:paraId="0B689E5E" w14:textId="2F18E239" w:rsidR="005F30C3" w:rsidRPr="002B0F9C" w:rsidRDefault="000533A8">
            <w:pPr>
              <w:jc w:val="both"/>
              <w:rPr>
                <w:rFonts w:ascii="Verdana" w:hAnsi="Verdana" w:cs="Arial"/>
                <w:sz w:val="22"/>
                <w:szCs w:val="22"/>
              </w:rPr>
            </w:pPr>
            <w:r w:rsidRPr="002B0F9C">
              <w:rPr>
                <w:rFonts w:ascii="Verdana" w:hAnsi="Verdana" w:cs="Arial"/>
                <w:i/>
                <w:sz w:val="22"/>
                <w:szCs w:val="22"/>
              </w:rPr>
              <w:t>No aplica</w:t>
            </w:r>
          </w:p>
        </w:tc>
      </w:tr>
      <w:tr w:rsidR="005F30C3" w:rsidRPr="002B0F9C" w14:paraId="11757C9B"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7834186A" w14:textId="77777777" w:rsidR="005F30C3" w:rsidRPr="002B0F9C" w:rsidRDefault="005F30C3" w:rsidP="002B0F9C">
            <w:pPr>
              <w:jc w:val="both"/>
              <w:rPr>
                <w:rFonts w:ascii="Verdana" w:hAnsi="Verdana" w:cs="Arial"/>
                <w:sz w:val="22"/>
                <w:szCs w:val="22"/>
              </w:rPr>
            </w:pPr>
            <w:r w:rsidRPr="002B0F9C">
              <w:rPr>
                <w:rFonts w:ascii="Verdana" w:hAnsi="Verdana" w:cs="Arial"/>
                <w:sz w:val="22"/>
                <w:szCs w:val="22"/>
              </w:rPr>
              <w:t>Concepto de aprobación nuevos trámites del Departamento Administrativo de la Función Pública</w:t>
            </w:r>
          </w:p>
          <w:p w14:paraId="701A5B9E" w14:textId="77777777" w:rsidR="005F30C3" w:rsidRPr="002B0F9C" w:rsidRDefault="005F30C3">
            <w:pPr>
              <w:jc w:val="both"/>
              <w:rPr>
                <w:rFonts w:ascii="Verdana" w:hAnsi="Verdana" w:cs="Arial"/>
                <w:sz w:val="22"/>
                <w:szCs w:val="22"/>
              </w:rPr>
            </w:pPr>
            <w:r w:rsidRPr="002B0F9C">
              <w:rPr>
                <w:rFonts w:ascii="Verdana" w:hAnsi="Verdana" w:cs="Arial"/>
                <w:i/>
                <w:sz w:val="22"/>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vAlign w:val="center"/>
          </w:tcPr>
          <w:p w14:paraId="41E61A33" w14:textId="29D37C40" w:rsidR="005F30C3" w:rsidRPr="002B0F9C" w:rsidRDefault="000533A8">
            <w:pPr>
              <w:jc w:val="both"/>
              <w:rPr>
                <w:rFonts w:ascii="Verdana" w:hAnsi="Verdana" w:cs="Arial"/>
                <w:sz w:val="22"/>
                <w:szCs w:val="22"/>
              </w:rPr>
            </w:pPr>
            <w:r w:rsidRPr="002B0F9C">
              <w:rPr>
                <w:rFonts w:ascii="Verdana" w:hAnsi="Verdana" w:cs="Arial"/>
                <w:i/>
                <w:sz w:val="22"/>
                <w:szCs w:val="22"/>
              </w:rPr>
              <w:t>No aplica</w:t>
            </w:r>
          </w:p>
        </w:tc>
      </w:tr>
      <w:tr w:rsidR="00554E71" w:rsidRPr="002B0F9C" w14:paraId="7FA2E279" w14:textId="77777777" w:rsidTr="001A1E25">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0B7FF363" w14:textId="77777777" w:rsidR="00554E71" w:rsidRPr="002B0F9C" w:rsidRDefault="00554E71" w:rsidP="002B0F9C">
            <w:pPr>
              <w:jc w:val="both"/>
              <w:rPr>
                <w:rFonts w:ascii="Verdana" w:hAnsi="Verdana" w:cs="Arial"/>
                <w:sz w:val="22"/>
                <w:szCs w:val="22"/>
              </w:rPr>
            </w:pPr>
            <w:r w:rsidRPr="002B0F9C">
              <w:rPr>
                <w:rFonts w:ascii="Verdana" w:hAnsi="Verdana" w:cs="Arial"/>
                <w:sz w:val="22"/>
                <w:szCs w:val="22"/>
              </w:rPr>
              <w:t>Concepto Ministerio de Interior</w:t>
            </w:r>
          </w:p>
        </w:tc>
        <w:tc>
          <w:tcPr>
            <w:tcW w:w="3119" w:type="dxa"/>
            <w:tcBorders>
              <w:top w:val="single" w:sz="4" w:space="0" w:color="auto"/>
              <w:left w:val="single" w:sz="4" w:space="0" w:color="auto"/>
              <w:bottom w:val="single" w:sz="4" w:space="0" w:color="auto"/>
            </w:tcBorders>
            <w:shd w:val="clear" w:color="auto" w:fill="FFFFFF"/>
            <w:vAlign w:val="center"/>
          </w:tcPr>
          <w:p w14:paraId="2A5697B1" w14:textId="2A4ABE2D" w:rsidR="00554E71" w:rsidRPr="002B0F9C" w:rsidRDefault="000533A8" w:rsidP="002B0F9C">
            <w:pPr>
              <w:jc w:val="both"/>
              <w:rPr>
                <w:rFonts w:ascii="Verdana" w:hAnsi="Verdana" w:cs="Arial"/>
                <w:i/>
                <w:sz w:val="22"/>
                <w:szCs w:val="22"/>
              </w:rPr>
            </w:pPr>
            <w:r w:rsidRPr="002B0F9C">
              <w:rPr>
                <w:rFonts w:ascii="Verdana" w:hAnsi="Verdana" w:cs="Arial"/>
                <w:i/>
                <w:sz w:val="22"/>
                <w:szCs w:val="22"/>
              </w:rPr>
              <w:t>No aplica</w:t>
            </w:r>
          </w:p>
        </w:tc>
      </w:tr>
    </w:tbl>
    <w:p w14:paraId="07547A01" w14:textId="77777777" w:rsidR="00301DC2" w:rsidRPr="002B0F9C" w:rsidRDefault="00301DC2" w:rsidP="002B0F9C">
      <w:pPr>
        <w:ind w:right="-377"/>
        <w:jc w:val="both"/>
        <w:rPr>
          <w:rFonts w:ascii="Verdana" w:hAnsi="Verdana" w:cs="Arial"/>
          <w:sz w:val="22"/>
          <w:szCs w:val="22"/>
        </w:rPr>
      </w:pPr>
    </w:p>
    <w:p w14:paraId="68943B0B" w14:textId="77777777" w:rsidR="00554E71" w:rsidRPr="002B0F9C" w:rsidRDefault="00554E71" w:rsidP="002B0F9C">
      <w:pPr>
        <w:ind w:left="-1276" w:right="-377" w:firstLine="283"/>
        <w:jc w:val="both"/>
        <w:rPr>
          <w:rFonts w:ascii="Verdana" w:hAnsi="Verdana" w:cs="Arial"/>
          <w:b/>
          <w:sz w:val="22"/>
          <w:szCs w:val="22"/>
        </w:rPr>
      </w:pPr>
      <w:r w:rsidRPr="002B0F9C">
        <w:rPr>
          <w:rFonts w:ascii="Verdana" w:hAnsi="Verdana" w:cs="Arial"/>
          <w:b/>
          <w:sz w:val="22"/>
          <w:szCs w:val="22"/>
        </w:rPr>
        <w:t>Aprobó:</w:t>
      </w:r>
    </w:p>
    <w:p w14:paraId="5043CB0F" w14:textId="77777777" w:rsidR="00554E71" w:rsidRPr="002B0F9C" w:rsidRDefault="00554E71">
      <w:pPr>
        <w:ind w:right="-377"/>
        <w:jc w:val="both"/>
        <w:rPr>
          <w:rFonts w:ascii="Verdana" w:hAnsi="Verdana" w:cs="Arial"/>
          <w:sz w:val="22"/>
          <w:szCs w:val="22"/>
        </w:rPr>
      </w:pPr>
    </w:p>
    <w:p w14:paraId="07459315" w14:textId="77777777" w:rsidR="00554E71" w:rsidRPr="002B0F9C" w:rsidRDefault="00554E71">
      <w:pPr>
        <w:ind w:right="-377"/>
        <w:jc w:val="both"/>
        <w:rPr>
          <w:rFonts w:ascii="Verdana" w:hAnsi="Verdana" w:cs="Arial"/>
          <w:sz w:val="22"/>
          <w:szCs w:val="22"/>
        </w:rPr>
      </w:pPr>
    </w:p>
    <w:p w14:paraId="6537F28F" w14:textId="77777777" w:rsidR="00554E71" w:rsidRPr="002B0F9C" w:rsidRDefault="00554E71">
      <w:pPr>
        <w:ind w:right="-377"/>
        <w:jc w:val="both"/>
        <w:rPr>
          <w:rFonts w:ascii="Verdana" w:hAnsi="Verdana" w:cs="Arial"/>
          <w:sz w:val="22"/>
          <w:szCs w:val="22"/>
        </w:rPr>
      </w:pPr>
    </w:p>
    <w:p w14:paraId="6DFB9E20" w14:textId="77777777" w:rsidR="00554E71" w:rsidRPr="002B0F9C" w:rsidRDefault="00554E71">
      <w:pPr>
        <w:ind w:right="-377"/>
        <w:jc w:val="both"/>
        <w:rPr>
          <w:rFonts w:ascii="Verdana" w:hAnsi="Verdana" w:cs="Arial"/>
          <w:sz w:val="22"/>
          <w:szCs w:val="22"/>
        </w:rPr>
      </w:pPr>
    </w:p>
    <w:p w14:paraId="70DF9E56" w14:textId="77777777" w:rsidR="00554E71" w:rsidRPr="002B0F9C" w:rsidRDefault="00554E71">
      <w:pPr>
        <w:ind w:right="-377"/>
        <w:jc w:val="both"/>
        <w:rPr>
          <w:rFonts w:ascii="Verdana" w:hAnsi="Verdana" w:cs="Arial"/>
          <w:sz w:val="22"/>
          <w:szCs w:val="22"/>
        </w:rPr>
      </w:pPr>
      <w:bookmarkStart w:id="1" w:name="_Hlk135415851"/>
    </w:p>
    <w:p w14:paraId="599D1C7E" w14:textId="77777777" w:rsidR="00B44E0B" w:rsidRPr="002B0F9C" w:rsidRDefault="00B44E0B">
      <w:pPr>
        <w:pStyle w:val="Listavistosa-nfasis11"/>
        <w:spacing w:after="0" w:line="240" w:lineRule="auto"/>
        <w:ind w:left="-993"/>
        <w:jc w:val="center"/>
        <w:rPr>
          <w:rFonts w:ascii="Verdana" w:hAnsi="Verdana" w:cs="Arial"/>
        </w:rPr>
      </w:pPr>
      <w:r w:rsidRPr="002B0F9C">
        <w:rPr>
          <w:rFonts w:ascii="Verdana" w:hAnsi="Verdana" w:cs="Arial"/>
        </w:rPr>
        <w:t>____________________________________________________________________</w:t>
      </w:r>
    </w:p>
    <w:p w14:paraId="6531C434" w14:textId="77777777" w:rsidR="000533A8" w:rsidRPr="002B0F9C" w:rsidRDefault="000533A8">
      <w:pPr>
        <w:pStyle w:val="Listavistosa-nfasis11"/>
        <w:spacing w:after="0" w:line="240" w:lineRule="auto"/>
        <w:ind w:left="0"/>
        <w:jc w:val="center"/>
        <w:rPr>
          <w:rFonts w:ascii="Verdana" w:hAnsi="Verdana" w:cs="Arial"/>
          <w:b/>
        </w:rPr>
      </w:pPr>
      <w:r w:rsidRPr="002B0F9C">
        <w:rPr>
          <w:rFonts w:ascii="Verdana" w:hAnsi="Verdana" w:cs="Arial"/>
          <w:b/>
        </w:rPr>
        <w:t>Manuel Avila Olarte</w:t>
      </w:r>
    </w:p>
    <w:p w14:paraId="4140DFA0" w14:textId="0412E42F" w:rsidR="000533A8" w:rsidRPr="002B0F9C" w:rsidRDefault="000533A8">
      <w:pPr>
        <w:pStyle w:val="Listavistosa-nfasis11"/>
        <w:spacing w:after="0" w:line="240" w:lineRule="auto"/>
        <w:ind w:left="0"/>
        <w:jc w:val="center"/>
        <w:rPr>
          <w:rFonts w:ascii="Verdana" w:hAnsi="Verdana" w:cs="Arial"/>
          <w:b/>
        </w:rPr>
      </w:pPr>
      <w:r w:rsidRPr="002B0F9C">
        <w:rPr>
          <w:rFonts w:ascii="Verdana" w:hAnsi="Verdana" w:cs="Arial"/>
          <w:b/>
        </w:rPr>
        <w:t>JEFE OFICINA ASESORA JURÍDICA</w:t>
      </w:r>
    </w:p>
    <w:p w14:paraId="70CFC3B4" w14:textId="77777777" w:rsidR="000533A8" w:rsidRPr="002B0F9C" w:rsidRDefault="000533A8">
      <w:pPr>
        <w:pStyle w:val="Listavistosa-nfasis11"/>
        <w:spacing w:after="0" w:line="240" w:lineRule="auto"/>
        <w:ind w:left="0"/>
        <w:jc w:val="center"/>
        <w:rPr>
          <w:rFonts w:ascii="Verdana" w:hAnsi="Verdana" w:cs="Arial"/>
          <w:b/>
        </w:rPr>
      </w:pPr>
      <w:r w:rsidRPr="002B0F9C">
        <w:rPr>
          <w:rFonts w:ascii="Verdana" w:hAnsi="Verdana" w:cs="Arial"/>
          <w:b/>
        </w:rPr>
        <w:t>PARQUES NACIONALES NATURALES DE COLOMBIA</w:t>
      </w:r>
    </w:p>
    <w:p w14:paraId="44E871BC" w14:textId="77777777" w:rsidR="00B44E0B" w:rsidRPr="002B0F9C" w:rsidRDefault="00B44E0B">
      <w:pPr>
        <w:pStyle w:val="Listavistosa-nfasis11"/>
        <w:spacing w:after="0" w:line="240" w:lineRule="auto"/>
        <w:ind w:left="-993"/>
        <w:jc w:val="center"/>
        <w:rPr>
          <w:rFonts w:ascii="Verdana" w:hAnsi="Verdana" w:cs="Arial"/>
        </w:rPr>
      </w:pPr>
    </w:p>
    <w:p w14:paraId="144A5D23" w14:textId="77777777" w:rsidR="00B44E0B" w:rsidRPr="002B0F9C" w:rsidRDefault="00B44E0B">
      <w:pPr>
        <w:pStyle w:val="Listavistosa-nfasis11"/>
        <w:spacing w:after="0" w:line="240" w:lineRule="auto"/>
        <w:ind w:left="-993"/>
        <w:jc w:val="center"/>
        <w:rPr>
          <w:rFonts w:ascii="Verdana" w:hAnsi="Verdana" w:cs="Arial"/>
        </w:rPr>
      </w:pPr>
    </w:p>
    <w:p w14:paraId="738610EB" w14:textId="77777777" w:rsidR="00B44E0B" w:rsidRPr="002B0F9C" w:rsidRDefault="00B44E0B">
      <w:pPr>
        <w:pStyle w:val="Listavistosa-nfasis11"/>
        <w:spacing w:after="0" w:line="240" w:lineRule="auto"/>
        <w:ind w:left="-993"/>
        <w:jc w:val="center"/>
        <w:rPr>
          <w:rFonts w:ascii="Verdana" w:hAnsi="Verdana" w:cs="Arial"/>
        </w:rPr>
      </w:pPr>
    </w:p>
    <w:p w14:paraId="463F29E8" w14:textId="77777777" w:rsidR="003948ED" w:rsidRPr="002B0F9C" w:rsidRDefault="003948ED">
      <w:pPr>
        <w:ind w:left="709" w:hanging="1410"/>
        <w:rPr>
          <w:rFonts w:ascii="Verdana" w:hAnsi="Verdana" w:cs="Arial"/>
          <w:sz w:val="22"/>
          <w:szCs w:val="22"/>
          <w:lang w:val="es-ES_tradnl"/>
        </w:rPr>
      </w:pPr>
    </w:p>
    <w:p w14:paraId="7525D886" w14:textId="2C95F141" w:rsidR="004F54C3" w:rsidRDefault="003948ED">
      <w:pPr>
        <w:ind w:left="709" w:hanging="993"/>
        <w:rPr>
          <w:rFonts w:ascii="Verdana" w:hAnsi="Verdana" w:cs="Arial"/>
          <w:bCs/>
          <w:sz w:val="22"/>
          <w:szCs w:val="22"/>
        </w:rPr>
      </w:pPr>
      <w:r w:rsidRPr="002B0F9C">
        <w:rPr>
          <w:rFonts w:ascii="Verdana" w:hAnsi="Verdana" w:cs="Arial"/>
          <w:sz w:val="22"/>
          <w:szCs w:val="22"/>
          <w:lang w:val="es-ES_tradnl"/>
        </w:rPr>
        <w:t>Proyectó:</w:t>
      </w:r>
      <w:r w:rsidR="00842CBD" w:rsidRPr="002B0F9C">
        <w:rPr>
          <w:rFonts w:ascii="Verdana" w:hAnsi="Verdana" w:cs="Arial"/>
          <w:sz w:val="22"/>
          <w:szCs w:val="22"/>
          <w:lang w:val="es-ES_tradnl"/>
        </w:rPr>
        <w:t xml:space="preserve"> </w:t>
      </w:r>
      <w:r w:rsidR="004F54C3" w:rsidRPr="002B0F9C">
        <w:rPr>
          <w:rFonts w:ascii="Verdana" w:hAnsi="Verdana" w:cs="Arial"/>
          <w:bCs/>
          <w:sz w:val="22"/>
          <w:szCs w:val="22"/>
        </w:rPr>
        <w:t xml:space="preserve">Luisa Fernanda Salazar Jiménez - </w:t>
      </w:r>
      <w:r w:rsidR="004F54C3" w:rsidRPr="002B0F9C">
        <w:rPr>
          <w:rFonts w:ascii="Verdana" w:hAnsi="Verdana" w:cs="Arial"/>
          <w:sz w:val="22"/>
          <w:szCs w:val="22"/>
        </w:rPr>
        <w:t xml:space="preserve">Abogada Oficina Asesora Jurídica - </w:t>
      </w:r>
      <w:r w:rsidR="004F54C3" w:rsidRPr="002B0F9C">
        <w:rPr>
          <w:rFonts w:ascii="Verdana" w:hAnsi="Verdana" w:cs="Arial"/>
          <w:bCs/>
          <w:sz w:val="22"/>
          <w:szCs w:val="22"/>
        </w:rPr>
        <w:t xml:space="preserve">Parques Nacionales </w:t>
      </w:r>
      <w:r w:rsidR="000A5B8E">
        <w:rPr>
          <w:rFonts w:ascii="Verdana" w:hAnsi="Verdana" w:cs="Arial"/>
          <w:bCs/>
          <w:sz w:val="22"/>
          <w:szCs w:val="22"/>
        </w:rPr>
        <w:t>Naturales de Colombia.</w:t>
      </w:r>
    </w:p>
    <w:p w14:paraId="47E07E4E" w14:textId="162255A5" w:rsidR="000A5B8E" w:rsidRDefault="000A5B8E" w:rsidP="000A5B8E">
      <w:pPr>
        <w:rPr>
          <w:rFonts w:ascii="Verdana" w:hAnsi="Verdana" w:cs="Arial"/>
          <w:bCs/>
          <w:sz w:val="22"/>
          <w:szCs w:val="22"/>
        </w:rPr>
      </w:pPr>
      <w:r>
        <w:rPr>
          <w:rFonts w:ascii="Verdana" w:hAnsi="Verdana" w:cs="Arial"/>
          <w:bCs/>
          <w:sz w:val="22"/>
          <w:szCs w:val="22"/>
        </w:rPr>
        <w:t xml:space="preserve">         </w:t>
      </w:r>
      <w:r w:rsidR="00867FF3">
        <w:rPr>
          <w:rFonts w:ascii="Verdana" w:hAnsi="Verdana" w:cs="Arial"/>
          <w:bCs/>
          <w:sz w:val="22"/>
          <w:szCs w:val="22"/>
        </w:rPr>
        <w:t>Enny Lemus Trujillo</w:t>
      </w:r>
      <w:r>
        <w:rPr>
          <w:rFonts w:ascii="Verdana" w:hAnsi="Verdana" w:cs="Arial"/>
          <w:bCs/>
          <w:sz w:val="22"/>
          <w:szCs w:val="22"/>
        </w:rPr>
        <w:t xml:space="preserve"> - A</w:t>
      </w:r>
      <w:r w:rsidR="00867FF3" w:rsidRPr="002B0F9C">
        <w:rPr>
          <w:rFonts w:ascii="Verdana" w:hAnsi="Verdana" w:cs="Arial"/>
          <w:sz w:val="22"/>
          <w:szCs w:val="22"/>
        </w:rPr>
        <w:t xml:space="preserve">bogada Oficina Asesora Jurídica - </w:t>
      </w:r>
      <w:r w:rsidR="00867FF3" w:rsidRPr="002B0F9C">
        <w:rPr>
          <w:rFonts w:ascii="Verdana" w:hAnsi="Verdana" w:cs="Arial"/>
          <w:bCs/>
          <w:sz w:val="22"/>
          <w:szCs w:val="22"/>
        </w:rPr>
        <w:t>Parques Nacionales</w:t>
      </w:r>
    </w:p>
    <w:p w14:paraId="7B303A68" w14:textId="052B011A" w:rsidR="00867FF3" w:rsidRPr="002B0F9C" w:rsidRDefault="000A5B8E" w:rsidP="000A5B8E">
      <w:pPr>
        <w:rPr>
          <w:rFonts w:ascii="Verdana" w:hAnsi="Verdana" w:cs="Arial"/>
          <w:bCs/>
          <w:sz w:val="22"/>
          <w:szCs w:val="22"/>
        </w:rPr>
      </w:pPr>
      <w:r>
        <w:rPr>
          <w:rFonts w:ascii="Verdana" w:hAnsi="Verdana" w:cs="Arial"/>
          <w:bCs/>
          <w:sz w:val="22"/>
          <w:szCs w:val="22"/>
        </w:rPr>
        <w:t xml:space="preserve">         Naturales de Colombia.</w:t>
      </w:r>
    </w:p>
    <w:p w14:paraId="020CCC26" w14:textId="47F0785A" w:rsidR="004F54C3" w:rsidRPr="002B0F9C" w:rsidRDefault="004F54C3">
      <w:pPr>
        <w:ind w:left="709" w:hanging="993"/>
        <w:rPr>
          <w:rFonts w:ascii="Verdana" w:hAnsi="Verdana" w:cs="Arial"/>
          <w:sz w:val="22"/>
          <w:szCs w:val="22"/>
        </w:rPr>
      </w:pPr>
    </w:p>
    <w:p w14:paraId="23DDA0B5" w14:textId="00D0FD72" w:rsidR="006779DA" w:rsidRPr="002B0F9C" w:rsidRDefault="00BD3E63">
      <w:pPr>
        <w:ind w:left="709" w:hanging="2119"/>
        <w:rPr>
          <w:rFonts w:ascii="Verdana" w:hAnsi="Verdana" w:cs="Arial"/>
          <w:b/>
          <w:bCs/>
          <w:sz w:val="22"/>
          <w:szCs w:val="22"/>
        </w:rPr>
      </w:pPr>
      <w:r w:rsidRPr="002B0F9C">
        <w:rPr>
          <w:rFonts w:ascii="Verdana" w:hAnsi="Verdana" w:cs="Arial"/>
          <w:sz w:val="22"/>
          <w:szCs w:val="22"/>
        </w:rPr>
        <w:t xml:space="preserve"> </w:t>
      </w:r>
      <w:bookmarkEnd w:id="1"/>
    </w:p>
    <w:sectPr w:rsidR="006779DA" w:rsidRPr="002B0F9C" w:rsidSect="001E1859">
      <w:headerReference w:type="even" r:id="rId10"/>
      <w:headerReference w:type="default" r:id="rId11"/>
      <w:footerReference w:type="default" r:id="rId12"/>
      <w:headerReference w:type="first" r:id="rId13"/>
      <w:footerReference w:type="first" r:id="rId14"/>
      <w:type w:val="continuous"/>
      <w:pgSz w:w="12240" w:h="15840" w:code="1"/>
      <w:pgMar w:top="1616" w:right="616" w:bottom="1115" w:left="1701" w:header="624"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8D3C9" w14:textId="77777777" w:rsidR="0066565B" w:rsidRDefault="0066565B">
      <w:r>
        <w:separator/>
      </w:r>
    </w:p>
  </w:endnote>
  <w:endnote w:type="continuationSeparator" w:id="0">
    <w:p w14:paraId="3295FD89" w14:textId="77777777" w:rsidR="0066565B" w:rsidRDefault="0066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22A42" w14:textId="77777777" w:rsidR="00CE5AB3" w:rsidRDefault="00496BDC" w:rsidP="00CE5AB3">
    <w:pPr>
      <w:pStyle w:val="Piedepgina"/>
      <w:tabs>
        <w:tab w:val="left" w:pos="3555"/>
      </w:tabs>
      <w:ind w:left="-993"/>
      <w:rPr>
        <w:rFonts w:ascii="Arial Narrow" w:hAnsi="Arial Narrow"/>
        <w:color w:val="7F7F7F"/>
        <w:sz w:val="18"/>
        <w:szCs w:val="18"/>
      </w:rPr>
    </w:pPr>
    <w:bookmarkStart w:id="2"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2"/>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5F88FFA4"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5E59E740"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4B21E3C3" w14:textId="77777777" w:rsidR="00691BF1" w:rsidRDefault="0066565B" w:rsidP="00691BF1">
    <w:pPr>
      <w:pStyle w:val="Piedepgina"/>
      <w:tabs>
        <w:tab w:val="left" w:pos="3555"/>
      </w:tabs>
      <w:ind w:left="-993"/>
      <w:rPr>
        <w:sz w:val="18"/>
        <w:szCs w:val="18"/>
      </w:rPr>
    </w:pPr>
    <w:hyperlink r:id="rId1" w:history="1">
      <w:r w:rsidR="00CE5AB3" w:rsidRPr="002F32A6">
        <w:rPr>
          <w:rStyle w:val="Hipervnculo"/>
          <w:sz w:val="18"/>
          <w:szCs w:val="18"/>
        </w:rPr>
        <w:t>www.minambiente.gov.co</w:t>
      </w:r>
    </w:hyperlink>
  </w:p>
  <w:p w14:paraId="6D37EEEF" w14:textId="77777777" w:rsidR="00691BF1" w:rsidRPr="00691BF1" w:rsidRDefault="00CE5AB3" w:rsidP="00691BF1">
    <w:pPr>
      <w:pStyle w:val="Piedepgina"/>
      <w:tabs>
        <w:tab w:val="left" w:pos="3555"/>
      </w:tabs>
      <w:ind w:left="-993"/>
      <w:rPr>
        <w:sz w:val="18"/>
        <w:szCs w:val="18"/>
      </w:rPr>
    </w:pPr>
    <w:r w:rsidRPr="002F32A6">
      <w:rPr>
        <w:sz w:val="18"/>
        <w:szCs w:val="18"/>
      </w:rPr>
      <w:t>Bogotá, Colombia</w:t>
    </w:r>
    <w:r>
      <w:rPr>
        <w:sz w:val="18"/>
        <w:szCs w:val="18"/>
      </w:rPr>
      <w:tab/>
    </w:r>
    <w:r>
      <w:rPr>
        <w:sz w:val="18"/>
        <w:szCs w:val="18"/>
      </w:rPr>
      <w:tab/>
    </w:r>
    <w:r>
      <w:rPr>
        <w:sz w:val="18"/>
        <w:szCs w:val="18"/>
      </w:rPr>
      <w:tab/>
    </w:r>
    <w:r w:rsidR="00691BF1">
      <w:t xml:space="preserve">Página </w:t>
    </w:r>
    <w:r w:rsidR="00691BF1">
      <w:rPr>
        <w:b/>
        <w:bCs/>
        <w:sz w:val="24"/>
        <w:szCs w:val="24"/>
      </w:rPr>
      <w:fldChar w:fldCharType="begin"/>
    </w:r>
    <w:r w:rsidR="00691BF1">
      <w:rPr>
        <w:b/>
        <w:bCs/>
      </w:rPr>
      <w:instrText>PAGE</w:instrText>
    </w:r>
    <w:r w:rsidR="00691BF1">
      <w:rPr>
        <w:b/>
        <w:bCs/>
        <w:sz w:val="24"/>
        <w:szCs w:val="24"/>
      </w:rPr>
      <w:fldChar w:fldCharType="separate"/>
    </w:r>
    <w:r w:rsidR="00902E7B">
      <w:rPr>
        <w:b/>
        <w:bCs/>
        <w:noProof/>
      </w:rPr>
      <w:t>8</w:t>
    </w:r>
    <w:r w:rsidR="00691BF1">
      <w:rPr>
        <w:b/>
        <w:bCs/>
        <w:sz w:val="24"/>
        <w:szCs w:val="24"/>
      </w:rPr>
      <w:fldChar w:fldCharType="end"/>
    </w:r>
    <w:r w:rsidR="00691BF1">
      <w:t xml:space="preserve"> de </w:t>
    </w:r>
    <w:r w:rsidR="00691BF1">
      <w:rPr>
        <w:b/>
        <w:bCs/>
        <w:sz w:val="24"/>
        <w:szCs w:val="24"/>
      </w:rPr>
      <w:fldChar w:fldCharType="begin"/>
    </w:r>
    <w:r w:rsidR="00691BF1">
      <w:rPr>
        <w:b/>
        <w:bCs/>
      </w:rPr>
      <w:instrText>NUMPAGES</w:instrText>
    </w:r>
    <w:r w:rsidR="00691BF1">
      <w:rPr>
        <w:b/>
        <w:bCs/>
        <w:sz w:val="24"/>
        <w:szCs w:val="24"/>
      </w:rPr>
      <w:fldChar w:fldCharType="separate"/>
    </w:r>
    <w:r w:rsidR="00902E7B">
      <w:rPr>
        <w:b/>
        <w:bCs/>
        <w:noProof/>
      </w:rPr>
      <w:t>8</w:t>
    </w:r>
    <w:r w:rsidR="00691BF1">
      <w:rPr>
        <w:b/>
        <w:bCs/>
        <w:sz w:val="24"/>
        <w:szCs w:val="24"/>
      </w:rPr>
      <w:fldChar w:fldCharType="end"/>
    </w:r>
  </w:p>
  <w:p w14:paraId="17AD93B2" w14:textId="77777777" w:rsidR="00CE5AB3" w:rsidRDefault="00CE5AB3" w:rsidP="00CE5AB3">
    <w:pPr>
      <w:pStyle w:val="Piedepgina"/>
      <w:tabs>
        <w:tab w:val="left" w:pos="3555"/>
      </w:tabs>
      <w:ind w:left="-993"/>
    </w:pPr>
  </w:p>
  <w:p w14:paraId="0DE4B5B7" w14:textId="77777777" w:rsidR="00CE5AB3" w:rsidRDefault="00CE5AB3" w:rsidP="00CE5AB3">
    <w:pPr>
      <w:pStyle w:val="Piedepgina"/>
      <w:tabs>
        <w:tab w:val="left" w:pos="3555"/>
      </w:tabs>
      <w:ind w:left="-993"/>
    </w:pPr>
  </w:p>
  <w:p w14:paraId="66204FF1"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8E66"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769D0D3C"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C8C7" w14:textId="77777777" w:rsidR="0066565B" w:rsidRDefault="0066565B">
      <w:r>
        <w:separator/>
      </w:r>
    </w:p>
  </w:footnote>
  <w:footnote w:type="continuationSeparator" w:id="0">
    <w:p w14:paraId="35D39337" w14:textId="77777777" w:rsidR="0066565B" w:rsidRDefault="0066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19836" w14:textId="77777777" w:rsidR="008A7359" w:rsidRDefault="0066565B">
    <w:pPr>
      <w:pStyle w:val="Encabezado"/>
    </w:pPr>
    <w:r>
      <w:rPr>
        <w:noProof/>
        <w:lang w:val="es-CO" w:eastAsia="es-CO"/>
      </w:rPr>
      <w:pict w14:anchorId="4749C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2050" type="#_x0000_t75" alt="" style="position:absolute;margin-left:0;margin-top:0;width:496.05pt;height:149.6pt;z-index:-251658240;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F0D7D"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76871139" w14:textId="77777777" w:rsidTr="00CE5AB3">
      <w:trPr>
        <w:cantSplit/>
        <w:trHeight w:val="313"/>
      </w:trPr>
      <w:tc>
        <w:tcPr>
          <w:tcW w:w="2722" w:type="dxa"/>
          <w:vMerge w:val="restart"/>
          <w:vAlign w:val="center"/>
        </w:tcPr>
        <w:p w14:paraId="1E15E61F"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6B62F1B3" w14:textId="77777777" w:rsidR="00CE5AB3" w:rsidRPr="001D62F3" w:rsidRDefault="00F51DE0" w:rsidP="00CE5AB3">
          <w:pPr>
            <w:ind w:right="-42"/>
            <w:jc w:val="center"/>
            <w:rPr>
              <w:rFonts w:cs="Arial"/>
              <w:b/>
              <w:bCs/>
              <w:spacing w:val="-6"/>
            </w:rPr>
          </w:pPr>
          <w:r w:rsidRPr="00A35311">
            <w:rPr>
              <w:rFonts w:cs="Arial"/>
              <w:b/>
              <w:noProof/>
              <w:spacing w:val="-6"/>
              <w:lang w:val="es-CO" w:eastAsia="es-CO"/>
            </w:rPr>
            <w:drawing>
              <wp:inline distT="0" distB="0" distL="0" distR="0" wp14:anchorId="39C2D18A" wp14:editId="07777777">
                <wp:extent cx="1047750" cy="333375"/>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33375"/>
                        </a:xfrm>
                        <a:prstGeom prst="rect">
                          <a:avLst/>
                        </a:prstGeom>
                        <a:noFill/>
                        <a:ln>
                          <a:noFill/>
                        </a:ln>
                      </pic:spPr>
                    </pic:pic>
                  </a:graphicData>
                </a:graphic>
              </wp:inline>
            </w:drawing>
          </w:r>
        </w:p>
      </w:tc>
    </w:tr>
    <w:tr w:rsidR="00CE5AB3" w:rsidRPr="009E07BE" w14:paraId="693A67EB" w14:textId="77777777" w:rsidTr="00CE5AB3">
      <w:trPr>
        <w:cantSplit/>
        <w:trHeight w:val="316"/>
      </w:trPr>
      <w:tc>
        <w:tcPr>
          <w:tcW w:w="2722" w:type="dxa"/>
          <w:vMerge/>
          <w:vAlign w:val="center"/>
        </w:tcPr>
        <w:p w14:paraId="02F2C34E" w14:textId="77777777" w:rsidR="00CE5AB3" w:rsidRPr="001D62F3" w:rsidRDefault="00CE5AB3" w:rsidP="00CE5AB3">
          <w:pPr>
            <w:jc w:val="center"/>
            <w:rPr>
              <w:rFonts w:cs="Arial"/>
              <w:bCs/>
              <w:spacing w:val="-6"/>
              <w:szCs w:val="17"/>
            </w:rPr>
          </w:pPr>
        </w:p>
      </w:tc>
      <w:tc>
        <w:tcPr>
          <w:tcW w:w="6209" w:type="dxa"/>
          <w:shd w:val="clear" w:color="auto" w:fill="E1E1E1"/>
        </w:tcPr>
        <w:p w14:paraId="2A1E9FB2"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680A4E5D" w14:textId="77777777" w:rsidR="00CE5AB3" w:rsidRPr="001D62F3" w:rsidRDefault="00CE5AB3" w:rsidP="00CE5AB3">
          <w:pPr>
            <w:ind w:right="-42"/>
            <w:jc w:val="center"/>
            <w:rPr>
              <w:rFonts w:cs="Arial"/>
              <w:bCs/>
              <w:spacing w:val="-6"/>
            </w:rPr>
          </w:pPr>
        </w:p>
      </w:tc>
    </w:tr>
    <w:tr w:rsidR="00CE5AB3" w:rsidRPr="009E07BE" w14:paraId="652ACBEC" w14:textId="77777777" w:rsidTr="00CE5AB3">
      <w:trPr>
        <w:cantSplit/>
        <w:trHeight w:val="339"/>
      </w:trPr>
      <w:tc>
        <w:tcPr>
          <w:tcW w:w="2722" w:type="dxa"/>
          <w:vAlign w:val="center"/>
        </w:tcPr>
        <w:p w14:paraId="3601203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148A0DBE"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F07A7D" w:rsidRDefault="00F51DE0">
    <w:pPr>
      <w:pStyle w:val="Encabezado"/>
    </w:pPr>
    <w:r>
      <w:rPr>
        <w:noProof/>
      </w:rPr>
      <w:drawing>
        <wp:anchor distT="0" distB="0" distL="114300" distR="114300" simplePos="0" relativeHeight="251659264" behindDoc="1" locked="0" layoutInCell="1" allowOverlap="1" wp14:anchorId="33538830" wp14:editId="07777777">
          <wp:simplePos x="0" y="0"/>
          <wp:positionH relativeFrom="margin">
            <wp:posOffset>514350</wp:posOffset>
          </wp:positionH>
          <wp:positionV relativeFrom="paragraph">
            <wp:posOffset>3205480</wp:posOffset>
          </wp:positionV>
          <wp:extent cx="5258435" cy="1586230"/>
          <wp:effectExtent l="0" t="0" r="0" b="0"/>
          <wp:wrapNone/>
          <wp:docPr id="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071FE305" w14:textId="77777777" w:rsidTr="00431BB6">
      <w:trPr>
        <w:cantSplit/>
        <w:trHeight w:val="706"/>
      </w:trPr>
      <w:tc>
        <w:tcPr>
          <w:tcW w:w="1579" w:type="pct"/>
          <w:vMerge w:val="restart"/>
          <w:vAlign w:val="center"/>
        </w:tcPr>
        <w:p w14:paraId="03DF4DE2"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431BB6" w:rsidRPr="006374A6" w:rsidRDefault="00F51DE0"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47DCC73E" wp14:editId="07777777">
                <wp:simplePos x="0" y="0"/>
                <wp:positionH relativeFrom="margin">
                  <wp:posOffset>233680</wp:posOffset>
                </wp:positionH>
                <wp:positionV relativeFrom="margin">
                  <wp:posOffset>146050</wp:posOffset>
                </wp:positionV>
                <wp:extent cx="1536700" cy="39878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5BC3BA08" w14:textId="77777777" w:rsidTr="00431BB6">
      <w:trPr>
        <w:cantSplit/>
        <w:trHeight w:val="273"/>
      </w:trPr>
      <w:tc>
        <w:tcPr>
          <w:tcW w:w="1579" w:type="pct"/>
          <w:vMerge/>
          <w:vAlign w:val="center"/>
        </w:tcPr>
        <w:p w14:paraId="5630AD66"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0D793E1"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61829076" w14:textId="77777777" w:rsidR="00431BB6" w:rsidRPr="006374A6" w:rsidRDefault="00431BB6" w:rsidP="00431BB6">
          <w:pPr>
            <w:ind w:right="-42"/>
            <w:jc w:val="center"/>
            <w:rPr>
              <w:rFonts w:ascii="Arial Narrow" w:hAnsi="Arial Narrow" w:cs="Arial"/>
              <w:bCs/>
              <w:spacing w:val="-6"/>
            </w:rPr>
          </w:pPr>
        </w:p>
      </w:tc>
    </w:tr>
    <w:tr w:rsidR="00431BB6" w:rsidRPr="006374A6" w14:paraId="6BDF6EBE" w14:textId="77777777" w:rsidTr="00431BB6">
      <w:trPr>
        <w:cantSplit/>
        <w:trHeight w:val="278"/>
      </w:trPr>
      <w:tc>
        <w:tcPr>
          <w:tcW w:w="1579" w:type="pct"/>
          <w:vAlign w:val="center"/>
        </w:tcPr>
        <w:p w14:paraId="1023F1B5"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2BA226A1" w14:textId="77777777" w:rsidR="00350767" w:rsidRDefault="0066565B">
    <w:pPr>
      <w:pStyle w:val="Encabezado"/>
    </w:pPr>
    <w:r>
      <w:rPr>
        <w:rFonts w:ascii="Arial Narrow" w:hAnsi="Arial Narrow" w:cs="Arial"/>
        <w:bCs/>
        <w:noProof/>
        <w:spacing w:val="-6"/>
        <w:lang w:val="es-CO" w:eastAsia="es-CO"/>
      </w:rPr>
      <w:pict w14:anchorId="0B9D1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2049" type="#_x0000_t75" alt="" style="position:absolute;margin-left:0;margin-top:0;width:496.05pt;height:149.6pt;z-index:-251659264;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F1F71"/>
    <w:multiLevelType w:val="hybridMultilevel"/>
    <w:tmpl w:val="E22093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937E34"/>
    <w:multiLevelType w:val="hybridMultilevel"/>
    <w:tmpl w:val="EBC2F2E6"/>
    <w:lvl w:ilvl="0" w:tplc="D3C24856">
      <w:numFmt w:val="bullet"/>
      <w:lvlText w:val="-"/>
      <w:lvlJc w:val="left"/>
      <w:pPr>
        <w:ind w:left="360" w:hanging="360"/>
      </w:pPr>
      <w:rPr>
        <w:rFonts w:ascii="Arial" w:eastAsia="Arial Unicode MS" w:hAnsi="Arial" w:cs="Arial" w:hint="default"/>
      </w:rPr>
    </w:lvl>
    <w:lvl w:ilvl="1" w:tplc="240A000D">
      <w:start w:val="1"/>
      <w:numFmt w:val="bullet"/>
      <w:lvlText w:val=""/>
      <w:lvlJc w:val="left"/>
      <w:pPr>
        <w:ind w:left="1080" w:hanging="360"/>
      </w:pPr>
      <w:rPr>
        <w:rFonts w:ascii="Wingdings" w:hAnsi="Wingdings"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 w15:restartNumberingAfterBreak="0">
    <w:nsid w:val="0DE945B7"/>
    <w:multiLevelType w:val="hybridMultilevel"/>
    <w:tmpl w:val="9BA8E9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7F2FD2"/>
    <w:multiLevelType w:val="hybridMultilevel"/>
    <w:tmpl w:val="23780C54"/>
    <w:lvl w:ilvl="0" w:tplc="7122AF36">
      <w:start w:val="1"/>
      <w:numFmt w:val="decimal"/>
      <w:lvlText w:val="%1."/>
      <w:lvlJc w:val="left"/>
      <w:pPr>
        <w:ind w:left="720" w:hanging="360"/>
      </w:pPr>
      <w:rPr>
        <w:rFonts w:ascii="Arial" w:eastAsia="Calibri" w:hAnsi="Arial" w:cs="Arial"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BB4C41"/>
    <w:multiLevelType w:val="hybridMultilevel"/>
    <w:tmpl w:val="5434DD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178D43E1"/>
    <w:multiLevelType w:val="hybridMultilevel"/>
    <w:tmpl w:val="3E3C0C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0077F4"/>
    <w:multiLevelType w:val="hybridMultilevel"/>
    <w:tmpl w:val="471ED7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B331E40"/>
    <w:multiLevelType w:val="hybridMultilevel"/>
    <w:tmpl w:val="7EB8E8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9225D5"/>
    <w:multiLevelType w:val="hybridMultilevel"/>
    <w:tmpl w:val="2752FB6E"/>
    <w:lvl w:ilvl="0" w:tplc="0C0A0017">
      <w:start w:val="1"/>
      <w:numFmt w:val="lowerLetter"/>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9" w15:restartNumberingAfterBreak="0">
    <w:nsid w:val="1F7F7418"/>
    <w:multiLevelType w:val="hybridMultilevel"/>
    <w:tmpl w:val="561034C0"/>
    <w:lvl w:ilvl="0" w:tplc="C688F994">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5CC3AAB"/>
    <w:multiLevelType w:val="hybridMultilevel"/>
    <w:tmpl w:val="C72A38F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30D56"/>
    <w:multiLevelType w:val="hybridMultilevel"/>
    <w:tmpl w:val="B512F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C7D6525"/>
    <w:multiLevelType w:val="hybridMultilevel"/>
    <w:tmpl w:val="14323D5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D500285"/>
    <w:multiLevelType w:val="hybridMultilevel"/>
    <w:tmpl w:val="9D707FF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5" w15:restartNumberingAfterBreak="0">
    <w:nsid w:val="2FC438A4"/>
    <w:multiLevelType w:val="hybridMultilevel"/>
    <w:tmpl w:val="CC544A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A62FF"/>
    <w:multiLevelType w:val="hybridMultilevel"/>
    <w:tmpl w:val="76BC8E8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7" w15:restartNumberingAfterBreak="0">
    <w:nsid w:val="33917AA6"/>
    <w:multiLevelType w:val="hybridMultilevel"/>
    <w:tmpl w:val="78BE8B20"/>
    <w:lvl w:ilvl="0" w:tplc="D10EA2F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5C87B2D"/>
    <w:multiLevelType w:val="multilevel"/>
    <w:tmpl w:val="973C7BB2"/>
    <w:lvl w:ilvl="0">
      <w:start w:val="1"/>
      <w:numFmt w:val="decimal"/>
      <w:lvlText w:val="%1."/>
      <w:lvlJc w:val="left"/>
      <w:pPr>
        <w:ind w:left="720" w:hanging="360"/>
      </w:pPr>
      <w:rPr>
        <w:b/>
        <w:bCs/>
      </w:rPr>
    </w:lvl>
    <w:lvl w:ilvl="1">
      <w:start w:val="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333F05"/>
    <w:multiLevelType w:val="hybridMultilevel"/>
    <w:tmpl w:val="DBDC35E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341FF"/>
    <w:multiLevelType w:val="multilevel"/>
    <w:tmpl w:val="078847B8"/>
    <w:lvl w:ilvl="0">
      <w:start w:val="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A7C7321"/>
    <w:multiLevelType w:val="hybridMultilevel"/>
    <w:tmpl w:val="EF704034"/>
    <w:lvl w:ilvl="0" w:tplc="3AAE91AA">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F32023"/>
    <w:multiLevelType w:val="hybridMultilevel"/>
    <w:tmpl w:val="E91C692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40A3792D"/>
    <w:multiLevelType w:val="hybridMultilevel"/>
    <w:tmpl w:val="1150A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9127B63"/>
    <w:multiLevelType w:val="hybridMultilevel"/>
    <w:tmpl w:val="7BC80F2C"/>
    <w:lvl w:ilvl="0" w:tplc="FFFFFFFF">
      <w:start w:val="1"/>
      <w:numFmt w:val="bullet"/>
      <w:lvlText w:val=""/>
      <w:lvlJc w:val="left"/>
      <w:pPr>
        <w:tabs>
          <w:tab w:val="num" w:pos="720"/>
        </w:tabs>
        <w:ind w:left="720"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E38A9"/>
    <w:multiLevelType w:val="hybridMultilevel"/>
    <w:tmpl w:val="B6C654B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4D811299"/>
    <w:multiLevelType w:val="hybridMultilevel"/>
    <w:tmpl w:val="4CAE1F3E"/>
    <w:lvl w:ilvl="0" w:tplc="C5F83004">
      <w:start w:val="1440"/>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2820AD0"/>
    <w:multiLevelType w:val="hybridMultilevel"/>
    <w:tmpl w:val="44084084"/>
    <w:lvl w:ilvl="0" w:tplc="240A000D">
      <w:start w:val="1"/>
      <w:numFmt w:val="bullet"/>
      <w:lvlText w:val=""/>
      <w:lvlJc w:val="left"/>
      <w:pPr>
        <w:ind w:left="-1020" w:hanging="360"/>
      </w:pPr>
      <w:rPr>
        <w:rFonts w:ascii="Wingdings" w:hAnsi="Wingdings" w:hint="default"/>
      </w:rPr>
    </w:lvl>
    <w:lvl w:ilvl="1" w:tplc="240A0003" w:tentative="1">
      <w:start w:val="1"/>
      <w:numFmt w:val="bullet"/>
      <w:lvlText w:val="o"/>
      <w:lvlJc w:val="left"/>
      <w:pPr>
        <w:ind w:left="-300" w:hanging="360"/>
      </w:pPr>
      <w:rPr>
        <w:rFonts w:ascii="Courier New" w:hAnsi="Courier New" w:cs="Courier New" w:hint="default"/>
      </w:rPr>
    </w:lvl>
    <w:lvl w:ilvl="2" w:tplc="240A0005" w:tentative="1">
      <w:start w:val="1"/>
      <w:numFmt w:val="bullet"/>
      <w:lvlText w:val=""/>
      <w:lvlJc w:val="left"/>
      <w:pPr>
        <w:ind w:left="420" w:hanging="360"/>
      </w:pPr>
      <w:rPr>
        <w:rFonts w:ascii="Wingdings" w:hAnsi="Wingdings" w:hint="default"/>
      </w:rPr>
    </w:lvl>
    <w:lvl w:ilvl="3" w:tplc="240A0001" w:tentative="1">
      <w:start w:val="1"/>
      <w:numFmt w:val="bullet"/>
      <w:lvlText w:val=""/>
      <w:lvlJc w:val="left"/>
      <w:pPr>
        <w:ind w:left="1140" w:hanging="360"/>
      </w:pPr>
      <w:rPr>
        <w:rFonts w:ascii="Symbol" w:hAnsi="Symbol" w:hint="default"/>
      </w:rPr>
    </w:lvl>
    <w:lvl w:ilvl="4" w:tplc="240A0003" w:tentative="1">
      <w:start w:val="1"/>
      <w:numFmt w:val="bullet"/>
      <w:lvlText w:val="o"/>
      <w:lvlJc w:val="left"/>
      <w:pPr>
        <w:ind w:left="1860" w:hanging="360"/>
      </w:pPr>
      <w:rPr>
        <w:rFonts w:ascii="Courier New" w:hAnsi="Courier New" w:cs="Courier New" w:hint="default"/>
      </w:rPr>
    </w:lvl>
    <w:lvl w:ilvl="5" w:tplc="240A0005" w:tentative="1">
      <w:start w:val="1"/>
      <w:numFmt w:val="bullet"/>
      <w:lvlText w:val=""/>
      <w:lvlJc w:val="left"/>
      <w:pPr>
        <w:ind w:left="2580" w:hanging="360"/>
      </w:pPr>
      <w:rPr>
        <w:rFonts w:ascii="Wingdings" w:hAnsi="Wingdings" w:hint="default"/>
      </w:rPr>
    </w:lvl>
    <w:lvl w:ilvl="6" w:tplc="240A0001" w:tentative="1">
      <w:start w:val="1"/>
      <w:numFmt w:val="bullet"/>
      <w:lvlText w:val=""/>
      <w:lvlJc w:val="left"/>
      <w:pPr>
        <w:ind w:left="3300" w:hanging="360"/>
      </w:pPr>
      <w:rPr>
        <w:rFonts w:ascii="Symbol" w:hAnsi="Symbol" w:hint="default"/>
      </w:rPr>
    </w:lvl>
    <w:lvl w:ilvl="7" w:tplc="240A0003" w:tentative="1">
      <w:start w:val="1"/>
      <w:numFmt w:val="bullet"/>
      <w:lvlText w:val="o"/>
      <w:lvlJc w:val="left"/>
      <w:pPr>
        <w:ind w:left="4020" w:hanging="360"/>
      </w:pPr>
      <w:rPr>
        <w:rFonts w:ascii="Courier New" w:hAnsi="Courier New" w:cs="Courier New" w:hint="default"/>
      </w:rPr>
    </w:lvl>
    <w:lvl w:ilvl="8" w:tplc="240A0005" w:tentative="1">
      <w:start w:val="1"/>
      <w:numFmt w:val="bullet"/>
      <w:lvlText w:val=""/>
      <w:lvlJc w:val="left"/>
      <w:pPr>
        <w:ind w:left="4740" w:hanging="360"/>
      </w:pPr>
      <w:rPr>
        <w:rFonts w:ascii="Wingdings" w:hAnsi="Wingdings" w:hint="default"/>
      </w:rPr>
    </w:lvl>
  </w:abstractNum>
  <w:abstractNum w:abstractNumId="29" w15:restartNumberingAfterBreak="0">
    <w:nsid w:val="55612A01"/>
    <w:multiLevelType w:val="hybridMultilevel"/>
    <w:tmpl w:val="516C2342"/>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0" w15:restartNumberingAfterBreak="0">
    <w:nsid w:val="56C63FAB"/>
    <w:multiLevelType w:val="hybridMultilevel"/>
    <w:tmpl w:val="4B266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988006D"/>
    <w:multiLevelType w:val="hybridMultilevel"/>
    <w:tmpl w:val="1F986C7A"/>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2" w15:restartNumberingAfterBreak="0">
    <w:nsid w:val="599274BB"/>
    <w:multiLevelType w:val="hybridMultilevel"/>
    <w:tmpl w:val="19B6D6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5AC27BD1"/>
    <w:multiLevelType w:val="hybridMultilevel"/>
    <w:tmpl w:val="B00A2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D4163EC"/>
    <w:multiLevelType w:val="hybridMultilevel"/>
    <w:tmpl w:val="2B166F1E"/>
    <w:lvl w:ilvl="0" w:tplc="0C0A0017">
      <w:start w:val="1"/>
      <w:numFmt w:val="lowerLetter"/>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15:restartNumberingAfterBreak="0">
    <w:nsid w:val="5F423FF4"/>
    <w:multiLevelType w:val="multilevel"/>
    <w:tmpl w:val="60C2505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0682FB7"/>
    <w:multiLevelType w:val="hybridMultilevel"/>
    <w:tmpl w:val="6EB8E7D0"/>
    <w:lvl w:ilvl="0" w:tplc="0C0A000F">
      <w:start w:val="1"/>
      <w:numFmt w:val="decimal"/>
      <w:lvlText w:val="%1."/>
      <w:lvlJc w:val="left"/>
      <w:pPr>
        <w:tabs>
          <w:tab w:val="num" w:pos="720"/>
        </w:tabs>
        <w:ind w:left="720" w:hanging="36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0A438E4"/>
    <w:multiLevelType w:val="hybridMultilevel"/>
    <w:tmpl w:val="1602CE3A"/>
    <w:lvl w:ilvl="0" w:tplc="BB08A936">
      <w:numFmt w:val="bullet"/>
      <w:lvlText w:val="-"/>
      <w:lvlJc w:val="left"/>
      <w:pPr>
        <w:ind w:left="322" w:hanging="360"/>
      </w:pPr>
      <w:rPr>
        <w:rFonts w:ascii="Arial" w:eastAsia="Times" w:hAnsi="Arial" w:cs="Arial" w:hint="default"/>
      </w:rPr>
    </w:lvl>
    <w:lvl w:ilvl="1" w:tplc="240A0003" w:tentative="1">
      <w:start w:val="1"/>
      <w:numFmt w:val="bullet"/>
      <w:lvlText w:val="o"/>
      <w:lvlJc w:val="left"/>
      <w:pPr>
        <w:ind w:left="1042" w:hanging="360"/>
      </w:pPr>
      <w:rPr>
        <w:rFonts w:ascii="Courier New" w:hAnsi="Courier New" w:cs="Courier New" w:hint="default"/>
      </w:rPr>
    </w:lvl>
    <w:lvl w:ilvl="2" w:tplc="240A0005" w:tentative="1">
      <w:start w:val="1"/>
      <w:numFmt w:val="bullet"/>
      <w:lvlText w:val=""/>
      <w:lvlJc w:val="left"/>
      <w:pPr>
        <w:ind w:left="1762" w:hanging="360"/>
      </w:pPr>
      <w:rPr>
        <w:rFonts w:ascii="Wingdings" w:hAnsi="Wingdings" w:hint="default"/>
      </w:rPr>
    </w:lvl>
    <w:lvl w:ilvl="3" w:tplc="240A0001" w:tentative="1">
      <w:start w:val="1"/>
      <w:numFmt w:val="bullet"/>
      <w:lvlText w:val=""/>
      <w:lvlJc w:val="left"/>
      <w:pPr>
        <w:ind w:left="2482" w:hanging="360"/>
      </w:pPr>
      <w:rPr>
        <w:rFonts w:ascii="Symbol" w:hAnsi="Symbol" w:hint="default"/>
      </w:rPr>
    </w:lvl>
    <w:lvl w:ilvl="4" w:tplc="240A0003" w:tentative="1">
      <w:start w:val="1"/>
      <w:numFmt w:val="bullet"/>
      <w:lvlText w:val="o"/>
      <w:lvlJc w:val="left"/>
      <w:pPr>
        <w:ind w:left="3202" w:hanging="360"/>
      </w:pPr>
      <w:rPr>
        <w:rFonts w:ascii="Courier New" w:hAnsi="Courier New" w:cs="Courier New" w:hint="default"/>
      </w:rPr>
    </w:lvl>
    <w:lvl w:ilvl="5" w:tplc="240A0005" w:tentative="1">
      <w:start w:val="1"/>
      <w:numFmt w:val="bullet"/>
      <w:lvlText w:val=""/>
      <w:lvlJc w:val="left"/>
      <w:pPr>
        <w:ind w:left="3922" w:hanging="360"/>
      </w:pPr>
      <w:rPr>
        <w:rFonts w:ascii="Wingdings" w:hAnsi="Wingdings" w:hint="default"/>
      </w:rPr>
    </w:lvl>
    <w:lvl w:ilvl="6" w:tplc="240A0001" w:tentative="1">
      <w:start w:val="1"/>
      <w:numFmt w:val="bullet"/>
      <w:lvlText w:val=""/>
      <w:lvlJc w:val="left"/>
      <w:pPr>
        <w:ind w:left="4642" w:hanging="360"/>
      </w:pPr>
      <w:rPr>
        <w:rFonts w:ascii="Symbol" w:hAnsi="Symbol" w:hint="default"/>
      </w:rPr>
    </w:lvl>
    <w:lvl w:ilvl="7" w:tplc="240A0003" w:tentative="1">
      <w:start w:val="1"/>
      <w:numFmt w:val="bullet"/>
      <w:lvlText w:val="o"/>
      <w:lvlJc w:val="left"/>
      <w:pPr>
        <w:ind w:left="5362" w:hanging="360"/>
      </w:pPr>
      <w:rPr>
        <w:rFonts w:ascii="Courier New" w:hAnsi="Courier New" w:cs="Courier New" w:hint="default"/>
      </w:rPr>
    </w:lvl>
    <w:lvl w:ilvl="8" w:tplc="240A0005" w:tentative="1">
      <w:start w:val="1"/>
      <w:numFmt w:val="bullet"/>
      <w:lvlText w:val=""/>
      <w:lvlJc w:val="left"/>
      <w:pPr>
        <w:ind w:left="6082" w:hanging="360"/>
      </w:pPr>
      <w:rPr>
        <w:rFonts w:ascii="Wingdings" w:hAnsi="Wingdings" w:hint="default"/>
      </w:rPr>
    </w:lvl>
  </w:abstractNum>
  <w:abstractNum w:abstractNumId="38" w15:restartNumberingAfterBreak="0">
    <w:nsid w:val="64573526"/>
    <w:multiLevelType w:val="hybridMultilevel"/>
    <w:tmpl w:val="665E973A"/>
    <w:lvl w:ilvl="0" w:tplc="2C08755A">
      <w:start w:val="1"/>
      <w:numFmt w:val="bullet"/>
      <w:lvlText w:val="•"/>
      <w:lvlJc w:val="left"/>
      <w:pPr>
        <w:tabs>
          <w:tab w:val="num" w:pos="999"/>
        </w:tabs>
        <w:ind w:left="999" w:hanging="360"/>
      </w:pPr>
      <w:rPr>
        <w:rFonts w:ascii="Arial" w:hAnsi="Arial" w:hint="default"/>
      </w:rPr>
    </w:lvl>
    <w:lvl w:ilvl="1" w:tplc="5AD0665A" w:tentative="1">
      <w:start w:val="1"/>
      <w:numFmt w:val="bullet"/>
      <w:lvlText w:val="•"/>
      <w:lvlJc w:val="left"/>
      <w:pPr>
        <w:tabs>
          <w:tab w:val="num" w:pos="1719"/>
        </w:tabs>
        <w:ind w:left="1719" w:hanging="360"/>
      </w:pPr>
      <w:rPr>
        <w:rFonts w:ascii="Arial" w:hAnsi="Arial" w:hint="default"/>
      </w:rPr>
    </w:lvl>
    <w:lvl w:ilvl="2" w:tplc="2AD44A04" w:tentative="1">
      <w:start w:val="1"/>
      <w:numFmt w:val="bullet"/>
      <w:lvlText w:val="•"/>
      <w:lvlJc w:val="left"/>
      <w:pPr>
        <w:tabs>
          <w:tab w:val="num" w:pos="2439"/>
        </w:tabs>
        <w:ind w:left="2439" w:hanging="360"/>
      </w:pPr>
      <w:rPr>
        <w:rFonts w:ascii="Arial" w:hAnsi="Arial" w:hint="default"/>
      </w:rPr>
    </w:lvl>
    <w:lvl w:ilvl="3" w:tplc="07082974" w:tentative="1">
      <w:start w:val="1"/>
      <w:numFmt w:val="bullet"/>
      <w:lvlText w:val="•"/>
      <w:lvlJc w:val="left"/>
      <w:pPr>
        <w:tabs>
          <w:tab w:val="num" w:pos="3159"/>
        </w:tabs>
        <w:ind w:left="3159" w:hanging="360"/>
      </w:pPr>
      <w:rPr>
        <w:rFonts w:ascii="Arial" w:hAnsi="Arial" w:hint="default"/>
      </w:rPr>
    </w:lvl>
    <w:lvl w:ilvl="4" w:tplc="CD76DC7C" w:tentative="1">
      <w:start w:val="1"/>
      <w:numFmt w:val="bullet"/>
      <w:lvlText w:val="•"/>
      <w:lvlJc w:val="left"/>
      <w:pPr>
        <w:tabs>
          <w:tab w:val="num" w:pos="3879"/>
        </w:tabs>
        <w:ind w:left="3879" w:hanging="360"/>
      </w:pPr>
      <w:rPr>
        <w:rFonts w:ascii="Arial" w:hAnsi="Arial" w:hint="default"/>
      </w:rPr>
    </w:lvl>
    <w:lvl w:ilvl="5" w:tplc="3D28A6E6" w:tentative="1">
      <w:start w:val="1"/>
      <w:numFmt w:val="bullet"/>
      <w:lvlText w:val="•"/>
      <w:lvlJc w:val="left"/>
      <w:pPr>
        <w:tabs>
          <w:tab w:val="num" w:pos="4599"/>
        </w:tabs>
        <w:ind w:left="4599" w:hanging="360"/>
      </w:pPr>
      <w:rPr>
        <w:rFonts w:ascii="Arial" w:hAnsi="Arial" w:hint="default"/>
      </w:rPr>
    </w:lvl>
    <w:lvl w:ilvl="6" w:tplc="590A4E18" w:tentative="1">
      <w:start w:val="1"/>
      <w:numFmt w:val="bullet"/>
      <w:lvlText w:val="•"/>
      <w:lvlJc w:val="left"/>
      <w:pPr>
        <w:tabs>
          <w:tab w:val="num" w:pos="5319"/>
        </w:tabs>
        <w:ind w:left="5319" w:hanging="360"/>
      </w:pPr>
      <w:rPr>
        <w:rFonts w:ascii="Arial" w:hAnsi="Arial" w:hint="default"/>
      </w:rPr>
    </w:lvl>
    <w:lvl w:ilvl="7" w:tplc="56BA76D8" w:tentative="1">
      <w:start w:val="1"/>
      <w:numFmt w:val="bullet"/>
      <w:lvlText w:val="•"/>
      <w:lvlJc w:val="left"/>
      <w:pPr>
        <w:tabs>
          <w:tab w:val="num" w:pos="6039"/>
        </w:tabs>
        <w:ind w:left="6039" w:hanging="360"/>
      </w:pPr>
      <w:rPr>
        <w:rFonts w:ascii="Arial" w:hAnsi="Arial" w:hint="default"/>
      </w:rPr>
    </w:lvl>
    <w:lvl w:ilvl="8" w:tplc="D56AD64E" w:tentative="1">
      <w:start w:val="1"/>
      <w:numFmt w:val="bullet"/>
      <w:lvlText w:val="•"/>
      <w:lvlJc w:val="left"/>
      <w:pPr>
        <w:tabs>
          <w:tab w:val="num" w:pos="6759"/>
        </w:tabs>
        <w:ind w:left="6759" w:hanging="360"/>
      </w:pPr>
      <w:rPr>
        <w:rFonts w:ascii="Arial" w:hAnsi="Arial" w:hint="default"/>
      </w:rPr>
    </w:lvl>
  </w:abstractNum>
  <w:abstractNum w:abstractNumId="39" w15:restartNumberingAfterBreak="0">
    <w:nsid w:val="65C86972"/>
    <w:multiLevelType w:val="hybridMultilevel"/>
    <w:tmpl w:val="EF60E5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82B19CB"/>
    <w:multiLevelType w:val="hybridMultilevel"/>
    <w:tmpl w:val="359E384C"/>
    <w:lvl w:ilvl="0" w:tplc="48043108">
      <w:start w:val="1"/>
      <w:numFmt w:val="decimal"/>
      <w:lvlText w:val="%1."/>
      <w:lvlJc w:val="left"/>
      <w:pPr>
        <w:ind w:left="360" w:hanging="360"/>
      </w:pPr>
      <w:rPr>
        <w:strike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1" w15:restartNumberingAfterBreak="0">
    <w:nsid w:val="6AFA48A5"/>
    <w:multiLevelType w:val="hybridMultilevel"/>
    <w:tmpl w:val="3E2221D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8547E6"/>
    <w:multiLevelType w:val="hybridMultilevel"/>
    <w:tmpl w:val="9F3404D0"/>
    <w:lvl w:ilvl="0" w:tplc="89D2AEF6">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DFA64E9"/>
    <w:multiLevelType w:val="hybridMultilevel"/>
    <w:tmpl w:val="70E22AB2"/>
    <w:lvl w:ilvl="0" w:tplc="645EFEFA">
      <w:start w:val="1"/>
      <w:numFmt w:val="upperRoman"/>
      <w:lvlText w:val="%1."/>
      <w:lvlJc w:val="left"/>
      <w:pPr>
        <w:tabs>
          <w:tab w:val="num" w:pos="1080"/>
        </w:tabs>
        <w:ind w:left="1080" w:hanging="720"/>
      </w:pPr>
      <w:rPr>
        <w:rFonts w:cs="Times New Roman" w:hint="default"/>
        <w:color w:val="auto"/>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7074639D"/>
    <w:multiLevelType w:val="hybridMultilevel"/>
    <w:tmpl w:val="F692C1A2"/>
    <w:lvl w:ilvl="0" w:tplc="240A000D">
      <w:start w:val="1"/>
      <w:numFmt w:val="bullet"/>
      <w:lvlText w:val=""/>
      <w:lvlJc w:val="left"/>
      <w:pPr>
        <w:ind w:left="1500" w:hanging="360"/>
      </w:pPr>
      <w:rPr>
        <w:rFonts w:ascii="Wingdings" w:hAnsi="Wingdings" w:hint="default"/>
      </w:rPr>
    </w:lvl>
    <w:lvl w:ilvl="1" w:tplc="240A0003">
      <w:start w:val="1"/>
      <w:numFmt w:val="bullet"/>
      <w:lvlText w:val="o"/>
      <w:lvlJc w:val="left"/>
      <w:pPr>
        <w:ind w:left="2220" w:hanging="360"/>
      </w:pPr>
      <w:rPr>
        <w:rFonts w:ascii="Courier New" w:hAnsi="Courier New" w:cs="Courier New" w:hint="default"/>
      </w:rPr>
    </w:lvl>
    <w:lvl w:ilvl="2" w:tplc="240A0005">
      <w:start w:val="1"/>
      <w:numFmt w:val="bullet"/>
      <w:lvlText w:val=""/>
      <w:lvlJc w:val="left"/>
      <w:pPr>
        <w:ind w:left="2940" w:hanging="360"/>
      </w:pPr>
      <w:rPr>
        <w:rFonts w:ascii="Wingdings" w:hAnsi="Wingdings" w:hint="default"/>
      </w:rPr>
    </w:lvl>
    <w:lvl w:ilvl="3" w:tplc="240A0001">
      <w:start w:val="1"/>
      <w:numFmt w:val="bullet"/>
      <w:lvlText w:val=""/>
      <w:lvlJc w:val="left"/>
      <w:pPr>
        <w:ind w:left="3660" w:hanging="360"/>
      </w:pPr>
      <w:rPr>
        <w:rFonts w:ascii="Symbol" w:hAnsi="Symbol" w:hint="default"/>
      </w:rPr>
    </w:lvl>
    <w:lvl w:ilvl="4" w:tplc="240A0003">
      <w:start w:val="1"/>
      <w:numFmt w:val="bullet"/>
      <w:lvlText w:val="o"/>
      <w:lvlJc w:val="left"/>
      <w:pPr>
        <w:ind w:left="4380" w:hanging="360"/>
      </w:pPr>
      <w:rPr>
        <w:rFonts w:ascii="Courier New" w:hAnsi="Courier New" w:cs="Courier New" w:hint="default"/>
      </w:rPr>
    </w:lvl>
    <w:lvl w:ilvl="5" w:tplc="240A0005">
      <w:start w:val="1"/>
      <w:numFmt w:val="bullet"/>
      <w:lvlText w:val=""/>
      <w:lvlJc w:val="left"/>
      <w:pPr>
        <w:ind w:left="5100" w:hanging="360"/>
      </w:pPr>
      <w:rPr>
        <w:rFonts w:ascii="Wingdings" w:hAnsi="Wingdings" w:hint="default"/>
      </w:rPr>
    </w:lvl>
    <w:lvl w:ilvl="6" w:tplc="240A0001">
      <w:start w:val="1"/>
      <w:numFmt w:val="bullet"/>
      <w:lvlText w:val=""/>
      <w:lvlJc w:val="left"/>
      <w:pPr>
        <w:ind w:left="5820" w:hanging="360"/>
      </w:pPr>
      <w:rPr>
        <w:rFonts w:ascii="Symbol" w:hAnsi="Symbol" w:hint="default"/>
      </w:rPr>
    </w:lvl>
    <w:lvl w:ilvl="7" w:tplc="240A0003">
      <w:start w:val="1"/>
      <w:numFmt w:val="bullet"/>
      <w:lvlText w:val="o"/>
      <w:lvlJc w:val="left"/>
      <w:pPr>
        <w:ind w:left="6540" w:hanging="360"/>
      </w:pPr>
      <w:rPr>
        <w:rFonts w:ascii="Courier New" w:hAnsi="Courier New" w:cs="Courier New" w:hint="default"/>
      </w:rPr>
    </w:lvl>
    <w:lvl w:ilvl="8" w:tplc="240A0005">
      <w:start w:val="1"/>
      <w:numFmt w:val="bullet"/>
      <w:lvlText w:val=""/>
      <w:lvlJc w:val="left"/>
      <w:pPr>
        <w:ind w:left="7260" w:hanging="360"/>
      </w:pPr>
      <w:rPr>
        <w:rFonts w:ascii="Wingdings" w:hAnsi="Wingdings" w:hint="default"/>
      </w:rPr>
    </w:lvl>
  </w:abstractNum>
  <w:abstractNum w:abstractNumId="45" w15:restartNumberingAfterBreak="0">
    <w:nsid w:val="72044BA6"/>
    <w:multiLevelType w:val="hybridMultilevel"/>
    <w:tmpl w:val="07EEA1E4"/>
    <w:lvl w:ilvl="0" w:tplc="FEE6611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6130260"/>
    <w:multiLevelType w:val="hybridMultilevel"/>
    <w:tmpl w:val="ADFAD4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A7813B2"/>
    <w:multiLevelType w:val="hybridMultilevel"/>
    <w:tmpl w:val="C8E461B0"/>
    <w:lvl w:ilvl="0" w:tplc="A26EE73E">
      <w:numFmt w:val="bullet"/>
      <w:lvlText w:val="-"/>
      <w:lvlJc w:val="left"/>
      <w:pPr>
        <w:ind w:left="720" w:hanging="360"/>
      </w:pPr>
      <w:rPr>
        <w:rFonts w:ascii="Calibri" w:eastAsia="Calibri" w:hAnsi="Calibri" w:cs="Calibri" w:hint="default"/>
        <w:sz w:val="24"/>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1"/>
  </w:num>
  <w:num w:numId="4">
    <w:abstractNumId w:val="9"/>
  </w:num>
  <w:num w:numId="5">
    <w:abstractNumId w:val="20"/>
  </w:num>
  <w:num w:numId="6">
    <w:abstractNumId w:val="35"/>
  </w:num>
  <w:num w:numId="7">
    <w:abstractNumId w:val="10"/>
  </w:num>
  <w:num w:numId="8">
    <w:abstractNumId w:val="21"/>
  </w:num>
  <w:num w:numId="9">
    <w:abstractNumId w:val="7"/>
  </w:num>
  <w:num w:numId="10">
    <w:abstractNumId w:val="25"/>
  </w:num>
  <w:num w:numId="11">
    <w:abstractNumId w:val="15"/>
  </w:num>
  <w:num w:numId="12">
    <w:abstractNumId w:val="36"/>
  </w:num>
  <w:num w:numId="13">
    <w:abstractNumId w:val="42"/>
  </w:num>
  <w:num w:numId="14">
    <w:abstractNumId w:val="43"/>
  </w:num>
  <w:num w:numId="15">
    <w:abstractNumId w:val="1"/>
  </w:num>
  <w:num w:numId="16">
    <w:abstractNumId w:val="26"/>
  </w:num>
  <w:num w:numId="17">
    <w:abstractNumId w:val="5"/>
  </w:num>
  <w:num w:numId="18">
    <w:abstractNumId w:val="28"/>
  </w:num>
  <w:num w:numId="19">
    <w:abstractNumId w:val="31"/>
  </w:num>
  <w:num w:numId="20">
    <w:abstractNumId w:val="0"/>
  </w:num>
  <w:num w:numId="21">
    <w:abstractNumId w:val="11"/>
  </w:num>
  <w:num w:numId="22">
    <w:abstractNumId w:val="23"/>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12"/>
  </w:num>
  <w:num w:numId="26">
    <w:abstractNumId w:val="33"/>
  </w:num>
  <w:num w:numId="27">
    <w:abstractNumId w:val="30"/>
  </w:num>
  <w:num w:numId="28">
    <w:abstractNumId w:val="44"/>
  </w:num>
  <w:num w:numId="29">
    <w:abstractNumId w:val="1"/>
  </w:num>
  <w:num w:numId="30">
    <w:abstractNumId w:val="47"/>
  </w:num>
  <w:num w:numId="31">
    <w:abstractNumId w:val="27"/>
  </w:num>
  <w:num w:numId="32">
    <w:abstractNumId w:val="39"/>
  </w:num>
  <w:num w:numId="33">
    <w:abstractNumId w:val="29"/>
  </w:num>
  <w:num w:numId="34">
    <w:abstractNumId w:val="38"/>
  </w:num>
  <w:num w:numId="35">
    <w:abstractNumId w:val="17"/>
  </w:num>
  <w:num w:numId="36">
    <w:abstractNumId w:val="6"/>
  </w:num>
  <w:num w:numId="37">
    <w:abstractNumId w:val="2"/>
  </w:num>
  <w:num w:numId="38">
    <w:abstractNumId w:val="32"/>
  </w:num>
  <w:num w:numId="39">
    <w:abstractNumId w:val="37"/>
  </w:num>
  <w:num w:numId="40">
    <w:abstractNumId w:val="19"/>
  </w:num>
  <w:num w:numId="41">
    <w:abstractNumId w:val="45"/>
  </w:num>
  <w:num w:numId="42">
    <w:abstractNumId w:val="22"/>
  </w:num>
  <w:num w:numId="43">
    <w:abstractNumId w:val="3"/>
  </w:num>
  <w:num w:numId="44">
    <w:abstractNumId w:val="13"/>
  </w:num>
  <w:num w:numId="45">
    <w:abstractNumId w:val="24"/>
  </w:num>
  <w:num w:numId="46">
    <w:abstractNumId w:val="18"/>
  </w:num>
  <w:num w:numId="47">
    <w:abstractNumId w:val="14"/>
  </w:num>
  <w:num w:numId="48">
    <w:abstractNumId w:val="46"/>
  </w:num>
  <w:num w:numId="49">
    <w:abstractNumId w:val="16"/>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F07"/>
    <w:rsid w:val="00013C42"/>
    <w:rsid w:val="00014814"/>
    <w:rsid w:val="00014D67"/>
    <w:rsid w:val="00016A94"/>
    <w:rsid w:val="00016FB8"/>
    <w:rsid w:val="00021FCC"/>
    <w:rsid w:val="00024F34"/>
    <w:rsid w:val="0002533E"/>
    <w:rsid w:val="0002546A"/>
    <w:rsid w:val="00032CBF"/>
    <w:rsid w:val="00033748"/>
    <w:rsid w:val="00034E2E"/>
    <w:rsid w:val="0004038D"/>
    <w:rsid w:val="0004205E"/>
    <w:rsid w:val="00047A6E"/>
    <w:rsid w:val="00050524"/>
    <w:rsid w:val="000533A8"/>
    <w:rsid w:val="0005749E"/>
    <w:rsid w:val="00061A7C"/>
    <w:rsid w:val="00066463"/>
    <w:rsid w:val="00070C7B"/>
    <w:rsid w:val="0007636F"/>
    <w:rsid w:val="00081CEE"/>
    <w:rsid w:val="00082817"/>
    <w:rsid w:val="00084B49"/>
    <w:rsid w:val="00084D74"/>
    <w:rsid w:val="00086B16"/>
    <w:rsid w:val="00087CBD"/>
    <w:rsid w:val="00092C0A"/>
    <w:rsid w:val="00094D9F"/>
    <w:rsid w:val="0009713F"/>
    <w:rsid w:val="000A0490"/>
    <w:rsid w:val="000A35DA"/>
    <w:rsid w:val="000A3E34"/>
    <w:rsid w:val="000A5B8E"/>
    <w:rsid w:val="000B30A6"/>
    <w:rsid w:val="000B39C5"/>
    <w:rsid w:val="000B50F1"/>
    <w:rsid w:val="000C37CA"/>
    <w:rsid w:val="000C41BE"/>
    <w:rsid w:val="000C614C"/>
    <w:rsid w:val="000C6C52"/>
    <w:rsid w:val="000C7C58"/>
    <w:rsid w:val="000D1904"/>
    <w:rsid w:val="000D2DA8"/>
    <w:rsid w:val="000D512E"/>
    <w:rsid w:val="000E0152"/>
    <w:rsid w:val="000E370D"/>
    <w:rsid w:val="000E5BE8"/>
    <w:rsid w:val="000E65A4"/>
    <w:rsid w:val="000F1A78"/>
    <w:rsid w:val="000F3A0B"/>
    <w:rsid w:val="000F675A"/>
    <w:rsid w:val="00100BD3"/>
    <w:rsid w:val="001029FB"/>
    <w:rsid w:val="00105533"/>
    <w:rsid w:val="001072FB"/>
    <w:rsid w:val="00116659"/>
    <w:rsid w:val="001175AA"/>
    <w:rsid w:val="0012435C"/>
    <w:rsid w:val="00125A3A"/>
    <w:rsid w:val="00126916"/>
    <w:rsid w:val="00126980"/>
    <w:rsid w:val="001303DD"/>
    <w:rsid w:val="00132F0C"/>
    <w:rsid w:val="00133EFF"/>
    <w:rsid w:val="001348DA"/>
    <w:rsid w:val="001365B5"/>
    <w:rsid w:val="00136CD0"/>
    <w:rsid w:val="0013737F"/>
    <w:rsid w:val="00142598"/>
    <w:rsid w:val="00142BF2"/>
    <w:rsid w:val="001447C1"/>
    <w:rsid w:val="00145BCA"/>
    <w:rsid w:val="0015216F"/>
    <w:rsid w:val="00153523"/>
    <w:rsid w:val="00153D96"/>
    <w:rsid w:val="00154D3B"/>
    <w:rsid w:val="00155907"/>
    <w:rsid w:val="00157729"/>
    <w:rsid w:val="0016083D"/>
    <w:rsid w:val="0016135F"/>
    <w:rsid w:val="00164587"/>
    <w:rsid w:val="00166031"/>
    <w:rsid w:val="001665A3"/>
    <w:rsid w:val="001743EF"/>
    <w:rsid w:val="00174A31"/>
    <w:rsid w:val="00177232"/>
    <w:rsid w:val="0018714E"/>
    <w:rsid w:val="00187186"/>
    <w:rsid w:val="00187FEB"/>
    <w:rsid w:val="00193328"/>
    <w:rsid w:val="001978EB"/>
    <w:rsid w:val="001A15F4"/>
    <w:rsid w:val="001A19B3"/>
    <w:rsid w:val="001A1E25"/>
    <w:rsid w:val="001A2AF1"/>
    <w:rsid w:val="001B7A32"/>
    <w:rsid w:val="001C013E"/>
    <w:rsid w:val="001C1432"/>
    <w:rsid w:val="001C646C"/>
    <w:rsid w:val="001D1743"/>
    <w:rsid w:val="001D17CF"/>
    <w:rsid w:val="001D68D1"/>
    <w:rsid w:val="001E1859"/>
    <w:rsid w:val="001E2543"/>
    <w:rsid w:val="001E6C60"/>
    <w:rsid w:val="001F238A"/>
    <w:rsid w:val="00213471"/>
    <w:rsid w:val="002171A2"/>
    <w:rsid w:val="002217D1"/>
    <w:rsid w:val="00223DA7"/>
    <w:rsid w:val="002264B8"/>
    <w:rsid w:val="00235361"/>
    <w:rsid w:val="00236F62"/>
    <w:rsid w:val="00237038"/>
    <w:rsid w:val="00237D76"/>
    <w:rsid w:val="002450EA"/>
    <w:rsid w:val="00251728"/>
    <w:rsid w:val="00251FCE"/>
    <w:rsid w:val="00252F13"/>
    <w:rsid w:val="00254313"/>
    <w:rsid w:val="002617FC"/>
    <w:rsid w:val="0026513E"/>
    <w:rsid w:val="002729A5"/>
    <w:rsid w:val="002739BF"/>
    <w:rsid w:val="002862C1"/>
    <w:rsid w:val="00286449"/>
    <w:rsid w:val="00287EC3"/>
    <w:rsid w:val="00293F29"/>
    <w:rsid w:val="002941D1"/>
    <w:rsid w:val="002967AE"/>
    <w:rsid w:val="002A2A12"/>
    <w:rsid w:val="002A4212"/>
    <w:rsid w:val="002A4AC2"/>
    <w:rsid w:val="002B0F9C"/>
    <w:rsid w:val="002B1353"/>
    <w:rsid w:val="002B59FF"/>
    <w:rsid w:val="002B6A5B"/>
    <w:rsid w:val="002C05D0"/>
    <w:rsid w:val="002C50BF"/>
    <w:rsid w:val="002C6429"/>
    <w:rsid w:val="002D096D"/>
    <w:rsid w:val="002D11FE"/>
    <w:rsid w:val="002D2CB2"/>
    <w:rsid w:val="002D35EC"/>
    <w:rsid w:val="002D3FE3"/>
    <w:rsid w:val="002D5E8B"/>
    <w:rsid w:val="002E0A58"/>
    <w:rsid w:val="002E4A97"/>
    <w:rsid w:val="002E71C4"/>
    <w:rsid w:val="002F226A"/>
    <w:rsid w:val="002F2764"/>
    <w:rsid w:val="00301DC2"/>
    <w:rsid w:val="003227FD"/>
    <w:rsid w:val="00325A55"/>
    <w:rsid w:val="003343DB"/>
    <w:rsid w:val="00336655"/>
    <w:rsid w:val="00342B3C"/>
    <w:rsid w:val="00342C5A"/>
    <w:rsid w:val="00346554"/>
    <w:rsid w:val="003503EB"/>
    <w:rsid w:val="00350767"/>
    <w:rsid w:val="00350E4B"/>
    <w:rsid w:val="003533A1"/>
    <w:rsid w:val="00354EDF"/>
    <w:rsid w:val="003651DE"/>
    <w:rsid w:val="00367CB8"/>
    <w:rsid w:val="003711C0"/>
    <w:rsid w:val="00373197"/>
    <w:rsid w:val="003739BF"/>
    <w:rsid w:val="00375CAA"/>
    <w:rsid w:val="003811C4"/>
    <w:rsid w:val="0038390A"/>
    <w:rsid w:val="003859EE"/>
    <w:rsid w:val="003948ED"/>
    <w:rsid w:val="003A0BBF"/>
    <w:rsid w:val="003A3C08"/>
    <w:rsid w:val="003A6449"/>
    <w:rsid w:val="003A73D2"/>
    <w:rsid w:val="003B3F46"/>
    <w:rsid w:val="003B4DDE"/>
    <w:rsid w:val="003B625C"/>
    <w:rsid w:val="003C0C28"/>
    <w:rsid w:val="003C0F32"/>
    <w:rsid w:val="003C4567"/>
    <w:rsid w:val="003C6B5B"/>
    <w:rsid w:val="003C6CAC"/>
    <w:rsid w:val="003D2206"/>
    <w:rsid w:val="003D3516"/>
    <w:rsid w:val="003E1394"/>
    <w:rsid w:val="003E582F"/>
    <w:rsid w:val="00401103"/>
    <w:rsid w:val="00401B59"/>
    <w:rsid w:val="00405CE5"/>
    <w:rsid w:val="0041114C"/>
    <w:rsid w:val="0041604F"/>
    <w:rsid w:val="00427DD9"/>
    <w:rsid w:val="00430882"/>
    <w:rsid w:val="004317DB"/>
    <w:rsid w:val="00431BB6"/>
    <w:rsid w:val="00432C5C"/>
    <w:rsid w:val="00437C19"/>
    <w:rsid w:val="00444AA5"/>
    <w:rsid w:val="004466B9"/>
    <w:rsid w:val="00456DD9"/>
    <w:rsid w:val="00461D1F"/>
    <w:rsid w:val="00470148"/>
    <w:rsid w:val="00470526"/>
    <w:rsid w:val="00480E1A"/>
    <w:rsid w:val="00481283"/>
    <w:rsid w:val="00483418"/>
    <w:rsid w:val="004848A4"/>
    <w:rsid w:val="004908EC"/>
    <w:rsid w:val="00496BDC"/>
    <w:rsid w:val="004A0755"/>
    <w:rsid w:val="004A5A3C"/>
    <w:rsid w:val="004A6BE3"/>
    <w:rsid w:val="004B078F"/>
    <w:rsid w:val="004B49FE"/>
    <w:rsid w:val="004B5226"/>
    <w:rsid w:val="004C4371"/>
    <w:rsid w:val="004C7D38"/>
    <w:rsid w:val="004D0C54"/>
    <w:rsid w:val="004D0D86"/>
    <w:rsid w:val="004D10C6"/>
    <w:rsid w:val="004D2643"/>
    <w:rsid w:val="004D294E"/>
    <w:rsid w:val="004D2FF8"/>
    <w:rsid w:val="004D3D03"/>
    <w:rsid w:val="004D4586"/>
    <w:rsid w:val="004D6329"/>
    <w:rsid w:val="004E034B"/>
    <w:rsid w:val="004E17FC"/>
    <w:rsid w:val="004E274E"/>
    <w:rsid w:val="004E451B"/>
    <w:rsid w:val="004E517F"/>
    <w:rsid w:val="004F54C3"/>
    <w:rsid w:val="004F62D9"/>
    <w:rsid w:val="004F778E"/>
    <w:rsid w:val="004F7A38"/>
    <w:rsid w:val="0050148F"/>
    <w:rsid w:val="00502F91"/>
    <w:rsid w:val="00507433"/>
    <w:rsid w:val="00512C13"/>
    <w:rsid w:val="00520AAA"/>
    <w:rsid w:val="00520B2A"/>
    <w:rsid w:val="00522CCB"/>
    <w:rsid w:val="00527214"/>
    <w:rsid w:val="005338E4"/>
    <w:rsid w:val="005354B6"/>
    <w:rsid w:val="00537D5C"/>
    <w:rsid w:val="0054286C"/>
    <w:rsid w:val="00543E5A"/>
    <w:rsid w:val="00545A32"/>
    <w:rsid w:val="0054645F"/>
    <w:rsid w:val="00554E71"/>
    <w:rsid w:val="005616ED"/>
    <w:rsid w:val="005629D0"/>
    <w:rsid w:val="00564A4E"/>
    <w:rsid w:val="00567962"/>
    <w:rsid w:val="005815B6"/>
    <w:rsid w:val="00584E85"/>
    <w:rsid w:val="005871DA"/>
    <w:rsid w:val="00587695"/>
    <w:rsid w:val="0059054D"/>
    <w:rsid w:val="0059316B"/>
    <w:rsid w:val="005949A8"/>
    <w:rsid w:val="0059583C"/>
    <w:rsid w:val="005A077D"/>
    <w:rsid w:val="005A4320"/>
    <w:rsid w:val="005A498D"/>
    <w:rsid w:val="005A4F38"/>
    <w:rsid w:val="005C19CA"/>
    <w:rsid w:val="005C4522"/>
    <w:rsid w:val="005D49BF"/>
    <w:rsid w:val="005D6F11"/>
    <w:rsid w:val="005F30C3"/>
    <w:rsid w:val="005F7863"/>
    <w:rsid w:val="0060312F"/>
    <w:rsid w:val="0060353B"/>
    <w:rsid w:val="00607489"/>
    <w:rsid w:val="00620876"/>
    <w:rsid w:val="00624FD0"/>
    <w:rsid w:val="00630C5E"/>
    <w:rsid w:val="006315B4"/>
    <w:rsid w:val="00635AC3"/>
    <w:rsid w:val="00636FFB"/>
    <w:rsid w:val="0064351D"/>
    <w:rsid w:val="00654CCF"/>
    <w:rsid w:val="00656866"/>
    <w:rsid w:val="00657EB5"/>
    <w:rsid w:val="0066565B"/>
    <w:rsid w:val="00665F82"/>
    <w:rsid w:val="0067186C"/>
    <w:rsid w:val="00671E11"/>
    <w:rsid w:val="006779DA"/>
    <w:rsid w:val="00687EB3"/>
    <w:rsid w:val="00691BF1"/>
    <w:rsid w:val="00692980"/>
    <w:rsid w:val="00693246"/>
    <w:rsid w:val="0069506F"/>
    <w:rsid w:val="00696582"/>
    <w:rsid w:val="00696BB4"/>
    <w:rsid w:val="006A1789"/>
    <w:rsid w:val="006A1DBB"/>
    <w:rsid w:val="006A4AA9"/>
    <w:rsid w:val="006B4E40"/>
    <w:rsid w:val="006C103A"/>
    <w:rsid w:val="006C4E6A"/>
    <w:rsid w:val="006C50E8"/>
    <w:rsid w:val="006D464D"/>
    <w:rsid w:val="006E0C8E"/>
    <w:rsid w:val="006E6F11"/>
    <w:rsid w:val="006F0B6B"/>
    <w:rsid w:val="006F144D"/>
    <w:rsid w:val="006F461B"/>
    <w:rsid w:val="006F622C"/>
    <w:rsid w:val="00700FF6"/>
    <w:rsid w:val="00704D44"/>
    <w:rsid w:val="00715A68"/>
    <w:rsid w:val="00715DD5"/>
    <w:rsid w:val="00715ECF"/>
    <w:rsid w:val="00717A04"/>
    <w:rsid w:val="00717BFE"/>
    <w:rsid w:val="007208C5"/>
    <w:rsid w:val="0072125D"/>
    <w:rsid w:val="00725BB4"/>
    <w:rsid w:val="0073180A"/>
    <w:rsid w:val="00732997"/>
    <w:rsid w:val="007336C3"/>
    <w:rsid w:val="00735033"/>
    <w:rsid w:val="00741BB7"/>
    <w:rsid w:val="007441CB"/>
    <w:rsid w:val="00745694"/>
    <w:rsid w:val="007510AB"/>
    <w:rsid w:val="00756485"/>
    <w:rsid w:val="0075705D"/>
    <w:rsid w:val="007626E1"/>
    <w:rsid w:val="00767F65"/>
    <w:rsid w:val="00770C49"/>
    <w:rsid w:val="00770D6C"/>
    <w:rsid w:val="00773CD8"/>
    <w:rsid w:val="00775C50"/>
    <w:rsid w:val="00780CCA"/>
    <w:rsid w:val="00783515"/>
    <w:rsid w:val="00787C94"/>
    <w:rsid w:val="00791BCB"/>
    <w:rsid w:val="007921BD"/>
    <w:rsid w:val="00793A02"/>
    <w:rsid w:val="00795C6B"/>
    <w:rsid w:val="007A1566"/>
    <w:rsid w:val="007A3995"/>
    <w:rsid w:val="007A5AC5"/>
    <w:rsid w:val="007B1B36"/>
    <w:rsid w:val="007B622D"/>
    <w:rsid w:val="007C4288"/>
    <w:rsid w:val="007C484E"/>
    <w:rsid w:val="007C7B8A"/>
    <w:rsid w:val="007D4853"/>
    <w:rsid w:val="007D57C4"/>
    <w:rsid w:val="007E0429"/>
    <w:rsid w:val="007E41DE"/>
    <w:rsid w:val="007E4CE3"/>
    <w:rsid w:val="007F2B1F"/>
    <w:rsid w:val="007F6CEE"/>
    <w:rsid w:val="00802F7A"/>
    <w:rsid w:val="00806A1C"/>
    <w:rsid w:val="0080773A"/>
    <w:rsid w:val="0081033C"/>
    <w:rsid w:val="00816C73"/>
    <w:rsid w:val="008173F3"/>
    <w:rsid w:val="0082117C"/>
    <w:rsid w:val="008218F4"/>
    <w:rsid w:val="008227E9"/>
    <w:rsid w:val="008252C5"/>
    <w:rsid w:val="00831860"/>
    <w:rsid w:val="00832F2D"/>
    <w:rsid w:val="00836C6A"/>
    <w:rsid w:val="00841C9F"/>
    <w:rsid w:val="0084294E"/>
    <w:rsid w:val="00842C17"/>
    <w:rsid w:val="00842CBD"/>
    <w:rsid w:val="00843EFF"/>
    <w:rsid w:val="008442A5"/>
    <w:rsid w:val="008477A9"/>
    <w:rsid w:val="008479DD"/>
    <w:rsid w:val="00852597"/>
    <w:rsid w:val="00852B00"/>
    <w:rsid w:val="0085416A"/>
    <w:rsid w:val="00856B0F"/>
    <w:rsid w:val="00862661"/>
    <w:rsid w:val="0086364E"/>
    <w:rsid w:val="0086691B"/>
    <w:rsid w:val="008679BE"/>
    <w:rsid w:val="00867FF3"/>
    <w:rsid w:val="0087032D"/>
    <w:rsid w:val="008716A1"/>
    <w:rsid w:val="0087186A"/>
    <w:rsid w:val="00871F04"/>
    <w:rsid w:val="00872C56"/>
    <w:rsid w:val="00874F67"/>
    <w:rsid w:val="0087670D"/>
    <w:rsid w:val="00876AC2"/>
    <w:rsid w:val="008770A9"/>
    <w:rsid w:val="00883F43"/>
    <w:rsid w:val="00884C98"/>
    <w:rsid w:val="00884CE2"/>
    <w:rsid w:val="00885E7D"/>
    <w:rsid w:val="0088742D"/>
    <w:rsid w:val="0089363F"/>
    <w:rsid w:val="00894D05"/>
    <w:rsid w:val="00896ED8"/>
    <w:rsid w:val="008A209D"/>
    <w:rsid w:val="008A2436"/>
    <w:rsid w:val="008A419F"/>
    <w:rsid w:val="008A4E8C"/>
    <w:rsid w:val="008A563D"/>
    <w:rsid w:val="008A7359"/>
    <w:rsid w:val="008B3B0A"/>
    <w:rsid w:val="008B5AB5"/>
    <w:rsid w:val="008B6514"/>
    <w:rsid w:val="008B6829"/>
    <w:rsid w:val="008C16FF"/>
    <w:rsid w:val="008C2BA0"/>
    <w:rsid w:val="008C69F2"/>
    <w:rsid w:val="008C7819"/>
    <w:rsid w:val="008C7C5C"/>
    <w:rsid w:val="008D1D44"/>
    <w:rsid w:val="008D3E6C"/>
    <w:rsid w:val="008E04EC"/>
    <w:rsid w:val="008E43F4"/>
    <w:rsid w:val="008F1604"/>
    <w:rsid w:val="008F1DE8"/>
    <w:rsid w:val="008F42F6"/>
    <w:rsid w:val="008F5282"/>
    <w:rsid w:val="00901C7E"/>
    <w:rsid w:val="00902E7B"/>
    <w:rsid w:val="00912BAC"/>
    <w:rsid w:val="00925058"/>
    <w:rsid w:val="009257D8"/>
    <w:rsid w:val="00926CDB"/>
    <w:rsid w:val="00930113"/>
    <w:rsid w:val="0093163A"/>
    <w:rsid w:val="009356EC"/>
    <w:rsid w:val="00937416"/>
    <w:rsid w:val="00937FB2"/>
    <w:rsid w:val="0094114F"/>
    <w:rsid w:val="0094119F"/>
    <w:rsid w:val="00942FA6"/>
    <w:rsid w:val="0095690D"/>
    <w:rsid w:val="00960586"/>
    <w:rsid w:val="009609C5"/>
    <w:rsid w:val="00965B1A"/>
    <w:rsid w:val="00971B57"/>
    <w:rsid w:val="00976933"/>
    <w:rsid w:val="00981893"/>
    <w:rsid w:val="00981D09"/>
    <w:rsid w:val="00983121"/>
    <w:rsid w:val="00984974"/>
    <w:rsid w:val="00986438"/>
    <w:rsid w:val="00986AC3"/>
    <w:rsid w:val="00987DBF"/>
    <w:rsid w:val="009970F9"/>
    <w:rsid w:val="00997B26"/>
    <w:rsid w:val="00997EB4"/>
    <w:rsid w:val="009A5590"/>
    <w:rsid w:val="009A6552"/>
    <w:rsid w:val="009B3CA0"/>
    <w:rsid w:val="009C3837"/>
    <w:rsid w:val="009C44BD"/>
    <w:rsid w:val="009C537F"/>
    <w:rsid w:val="009D0585"/>
    <w:rsid w:val="009D2BB3"/>
    <w:rsid w:val="009E0846"/>
    <w:rsid w:val="009E1EF4"/>
    <w:rsid w:val="009E1F32"/>
    <w:rsid w:val="009E4BD5"/>
    <w:rsid w:val="009F1BE0"/>
    <w:rsid w:val="009F7CED"/>
    <w:rsid w:val="00A04569"/>
    <w:rsid w:val="00A0736A"/>
    <w:rsid w:val="00A07DE7"/>
    <w:rsid w:val="00A11AD1"/>
    <w:rsid w:val="00A120D6"/>
    <w:rsid w:val="00A1301A"/>
    <w:rsid w:val="00A14C37"/>
    <w:rsid w:val="00A161B9"/>
    <w:rsid w:val="00A17668"/>
    <w:rsid w:val="00A2063E"/>
    <w:rsid w:val="00A219D7"/>
    <w:rsid w:val="00A260A3"/>
    <w:rsid w:val="00A2785C"/>
    <w:rsid w:val="00A33DCF"/>
    <w:rsid w:val="00A35311"/>
    <w:rsid w:val="00A35CE3"/>
    <w:rsid w:val="00A377FE"/>
    <w:rsid w:val="00A4128C"/>
    <w:rsid w:val="00A41AEF"/>
    <w:rsid w:val="00A447B3"/>
    <w:rsid w:val="00A453AD"/>
    <w:rsid w:val="00A500DD"/>
    <w:rsid w:val="00A52C3F"/>
    <w:rsid w:val="00A55896"/>
    <w:rsid w:val="00A55DB6"/>
    <w:rsid w:val="00A61784"/>
    <w:rsid w:val="00A62763"/>
    <w:rsid w:val="00A64120"/>
    <w:rsid w:val="00A6665C"/>
    <w:rsid w:val="00A72973"/>
    <w:rsid w:val="00A74AFD"/>
    <w:rsid w:val="00A80613"/>
    <w:rsid w:val="00A83A98"/>
    <w:rsid w:val="00A84D4D"/>
    <w:rsid w:val="00A85AEA"/>
    <w:rsid w:val="00A94019"/>
    <w:rsid w:val="00A95897"/>
    <w:rsid w:val="00AA15B0"/>
    <w:rsid w:val="00AA28E8"/>
    <w:rsid w:val="00AB0708"/>
    <w:rsid w:val="00AB0C45"/>
    <w:rsid w:val="00AB6652"/>
    <w:rsid w:val="00AB7A0D"/>
    <w:rsid w:val="00AC1AF8"/>
    <w:rsid w:val="00AC447D"/>
    <w:rsid w:val="00AD2013"/>
    <w:rsid w:val="00AD3F29"/>
    <w:rsid w:val="00AD5446"/>
    <w:rsid w:val="00AD623F"/>
    <w:rsid w:val="00AD648A"/>
    <w:rsid w:val="00AE03F3"/>
    <w:rsid w:val="00AF1457"/>
    <w:rsid w:val="00AF3C30"/>
    <w:rsid w:val="00AF5E71"/>
    <w:rsid w:val="00B13881"/>
    <w:rsid w:val="00B13AE3"/>
    <w:rsid w:val="00B149D9"/>
    <w:rsid w:val="00B22396"/>
    <w:rsid w:val="00B22F4F"/>
    <w:rsid w:val="00B25550"/>
    <w:rsid w:val="00B30DCD"/>
    <w:rsid w:val="00B318BF"/>
    <w:rsid w:val="00B377D3"/>
    <w:rsid w:val="00B4178F"/>
    <w:rsid w:val="00B4216E"/>
    <w:rsid w:val="00B448DC"/>
    <w:rsid w:val="00B44E0B"/>
    <w:rsid w:val="00B460EB"/>
    <w:rsid w:val="00B463AC"/>
    <w:rsid w:val="00B50016"/>
    <w:rsid w:val="00B51095"/>
    <w:rsid w:val="00B53CE8"/>
    <w:rsid w:val="00B55167"/>
    <w:rsid w:val="00B6123C"/>
    <w:rsid w:val="00B61CA6"/>
    <w:rsid w:val="00B6415F"/>
    <w:rsid w:val="00B65F1B"/>
    <w:rsid w:val="00B66D03"/>
    <w:rsid w:val="00B7000F"/>
    <w:rsid w:val="00B729FC"/>
    <w:rsid w:val="00B73EC6"/>
    <w:rsid w:val="00B75E46"/>
    <w:rsid w:val="00B766E4"/>
    <w:rsid w:val="00B80E2A"/>
    <w:rsid w:val="00B8326D"/>
    <w:rsid w:val="00B84AF8"/>
    <w:rsid w:val="00B937B6"/>
    <w:rsid w:val="00B94273"/>
    <w:rsid w:val="00BA3EA8"/>
    <w:rsid w:val="00BA414F"/>
    <w:rsid w:val="00BA450F"/>
    <w:rsid w:val="00BA4E79"/>
    <w:rsid w:val="00BB2A4C"/>
    <w:rsid w:val="00BB545F"/>
    <w:rsid w:val="00BB774B"/>
    <w:rsid w:val="00BD31E2"/>
    <w:rsid w:val="00BD3E63"/>
    <w:rsid w:val="00BD4B65"/>
    <w:rsid w:val="00BD590B"/>
    <w:rsid w:val="00BE27CB"/>
    <w:rsid w:val="00BE280C"/>
    <w:rsid w:val="00BE2F11"/>
    <w:rsid w:val="00BE6757"/>
    <w:rsid w:val="00BF054E"/>
    <w:rsid w:val="00BF0DB9"/>
    <w:rsid w:val="00C12987"/>
    <w:rsid w:val="00C12B93"/>
    <w:rsid w:val="00C134C3"/>
    <w:rsid w:val="00C26C14"/>
    <w:rsid w:val="00C27D76"/>
    <w:rsid w:val="00C31D59"/>
    <w:rsid w:val="00C36892"/>
    <w:rsid w:val="00C4009A"/>
    <w:rsid w:val="00C401C2"/>
    <w:rsid w:val="00C41477"/>
    <w:rsid w:val="00C46330"/>
    <w:rsid w:val="00C47F73"/>
    <w:rsid w:val="00C52E86"/>
    <w:rsid w:val="00C6077B"/>
    <w:rsid w:val="00C61441"/>
    <w:rsid w:val="00C63364"/>
    <w:rsid w:val="00C7294E"/>
    <w:rsid w:val="00C769E0"/>
    <w:rsid w:val="00C81BAF"/>
    <w:rsid w:val="00C83BAD"/>
    <w:rsid w:val="00C84D0B"/>
    <w:rsid w:val="00C91F90"/>
    <w:rsid w:val="00C951E8"/>
    <w:rsid w:val="00C965DC"/>
    <w:rsid w:val="00CA24B9"/>
    <w:rsid w:val="00CA57DF"/>
    <w:rsid w:val="00CB0063"/>
    <w:rsid w:val="00CB4D37"/>
    <w:rsid w:val="00CB66F7"/>
    <w:rsid w:val="00CC0C62"/>
    <w:rsid w:val="00CC259C"/>
    <w:rsid w:val="00CC2958"/>
    <w:rsid w:val="00CC42D1"/>
    <w:rsid w:val="00CC5B3E"/>
    <w:rsid w:val="00CE0362"/>
    <w:rsid w:val="00CE1A87"/>
    <w:rsid w:val="00CE5AB3"/>
    <w:rsid w:val="00CF0A4F"/>
    <w:rsid w:val="00CF25EF"/>
    <w:rsid w:val="00D01BBA"/>
    <w:rsid w:val="00D04A96"/>
    <w:rsid w:val="00D05B67"/>
    <w:rsid w:val="00D05D52"/>
    <w:rsid w:val="00D17439"/>
    <w:rsid w:val="00D2225A"/>
    <w:rsid w:val="00D24980"/>
    <w:rsid w:val="00D26D53"/>
    <w:rsid w:val="00D31F43"/>
    <w:rsid w:val="00D362F8"/>
    <w:rsid w:val="00D40E59"/>
    <w:rsid w:val="00D415E6"/>
    <w:rsid w:val="00D444C5"/>
    <w:rsid w:val="00D530DC"/>
    <w:rsid w:val="00D53883"/>
    <w:rsid w:val="00D57862"/>
    <w:rsid w:val="00D62023"/>
    <w:rsid w:val="00D62C23"/>
    <w:rsid w:val="00D679AB"/>
    <w:rsid w:val="00D7070F"/>
    <w:rsid w:val="00D709DD"/>
    <w:rsid w:val="00D71CB1"/>
    <w:rsid w:val="00D724DE"/>
    <w:rsid w:val="00D74BEB"/>
    <w:rsid w:val="00D8294A"/>
    <w:rsid w:val="00D82FA2"/>
    <w:rsid w:val="00D83AC8"/>
    <w:rsid w:val="00D83F98"/>
    <w:rsid w:val="00D84A75"/>
    <w:rsid w:val="00D85F90"/>
    <w:rsid w:val="00D90649"/>
    <w:rsid w:val="00D90BC2"/>
    <w:rsid w:val="00D91E89"/>
    <w:rsid w:val="00D9213D"/>
    <w:rsid w:val="00D965B1"/>
    <w:rsid w:val="00D97DF9"/>
    <w:rsid w:val="00DA6526"/>
    <w:rsid w:val="00DA6C54"/>
    <w:rsid w:val="00DC20C7"/>
    <w:rsid w:val="00DC54A3"/>
    <w:rsid w:val="00DC6431"/>
    <w:rsid w:val="00DD181C"/>
    <w:rsid w:val="00DD2F2C"/>
    <w:rsid w:val="00DD48D9"/>
    <w:rsid w:val="00DD55E1"/>
    <w:rsid w:val="00DE1540"/>
    <w:rsid w:val="00DE2B3F"/>
    <w:rsid w:val="00DE520C"/>
    <w:rsid w:val="00DF1E66"/>
    <w:rsid w:val="00DF3E78"/>
    <w:rsid w:val="00DF60FD"/>
    <w:rsid w:val="00DF6410"/>
    <w:rsid w:val="00E007F7"/>
    <w:rsid w:val="00E053A3"/>
    <w:rsid w:val="00E05F18"/>
    <w:rsid w:val="00E06A27"/>
    <w:rsid w:val="00E12202"/>
    <w:rsid w:val="00E242C5"/>
    <w:rsid w:val="00E24673"/>
    <w:rsid w:val="00E24F26"/>
    <w:rsid w:val="00E25116"/>
    <w:rsid w:val="00E261B4"/>
    <w:rsid w:val="00E271D2"/>
    <w:rsid w:val="00E31E85"/>
    <w:rsid w:val="00E407FF"/>
    <w:rsid w:val="00E40C34"/>
    <w:rsid w:val="00E41E2C"/>
    <w:rsid w:val="00E44207"/>
    <w:rsid w:val="00E44271"/>
    <w:rsid w:val="00E66C57"/>
    <w:rsid w:val="00E66D00"/>
    <w:rsid w:val="00E7224C"/>
    <w:rsid w:val="00E729F2"/>
    <w:rsid w:val="00E75DBD"/>
    <w:rsid w:val="00E805D3"/>
    <w:rsid w:val="00E80826"/>
    <w:rsid w:val="00E84DA1"/>
    <w:rsid w:val="00E85A57"/>
    <w:rsid w:val="00E91332"/>
    <w:rsid w:val="00E96029"/>
    <w:rsid w:val="00E97671"/>
    <w:rsid w:val="00EA3045"/>
    <w:rsid w:val="00EC1DE8"/>
    <w:rsid w:val="00EC35AE"/>
    <w:rsid w:val="00ED0174"/>
    <w:rsid w:val="00ED3C5F"/>
    <w:rsid w:val="00ED4708"/>
    <w:rsid w:val="00EE0D69"/>
    <w:rsid w:val="00EE0F26"/>
    <w:rsid w:val="00EE2ABB"/>
    <w:rsid w:val="00EF192B"/>
    <w:rsid w:val="00F06B8A"/>
    <w:rsid w:val="00F07A7D"/>
    <w:rsid w:val="00F153C1"/>
    <w:rsid w:val="00F16839"/>
    <w:rsid w:val="00F211E7"/>
    <w:rsid w:val="00F21D37"/>
    <w:rsid w:val="00F221F0"/>
    <w:rsid w:val="00F25FE9"/>
    <w:rsid w:val="00F26136"/>
    <w:rsid w:val="00F2713B"/>
    <w:rsid w:val="00F305D8"/>
    <w:rsid w:val="00F37106"/>
    <w:rsid w:val="00F43E6E"/>
    <w:rsid w:val="00F44A2E"/>
    <w:rsid w:val="00F45D2B"/>
    <w:rsid w:val="00F46374"/>
    <w:rsid w:val="00F47D57"/>
    <w:rsid w:val="00F51DE0"/>
    <w:rsid w:val="00F55DC4"/>
    <w:rsid w:val="00F576B3"/>
    <w:rsid w:val="00F745E1"/>
    <w:rsid w:val="00F75A79"/>
    <w:rsid w:val="00F7620E"/>
    <w:rsid w:val="00F775AD"/>
    <w:rsid w:val="00F80E07"/>
    <w:rsid w:val="00F816F7"/>
    <w:rsid w:val="00F90326"/>
    <w:rsid w:val="00F90F86"/>
    <w:rsid w:val="00F92DF0"/>
    <w:rsid w:val="00FA0454"/>
    <w:rsid w:val="00FA4A9E"/>
    <w:rsid w:val="00FB1248"/>
    <w:rsid w:val="00FB217D"/>
    <w:rsid w:val="00FB29CC"/>
    <w:rsid w:val="00FB5808"/>
    <w:rsid w:val="00FC0522"/>
    <w:rsid w:val="00FC2DE3"/>
    <w:rsid w:val="00FC6BA1"/>
    <w:rsid w:val="00FD3D04"/>
    <w:rsid w:val="00FD4632"/>
    <w:rsid w:val="00FD49A0"/>
    <w:rsid w:val="00FE27DE"/>
    <w:rsid w:val="00FE5C7D"/>
    <w:rsid w:val="00FE605E"/>
    <w:rsid w:val="00FE667B"/>
    <w:rsid w:val="00FF66CA"/>
    <w:rsid w:val="22415BBD"/>
    <w:rsid w:val="2905FDD5"/>
    <w:rsid w:val="360588AA"/>
    <w:rsid w:val="37378578"/>
    <w:rsid w:val="39AD0842"/>
    <w:rsid w:val="3FA35913"/>
    <w:rsid w:val="6AA388C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CB33CF4"/>
  <w15:docId w15:val="{111EB05B-44D6-45CF-91FE-CA3CE880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aliases w:val="Encabezado1"/>
    <w:basedOn w:val="Normal"/>
    <w:link w:val="EncabezadoCar"/>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16083D"/>
    <w:rPr>
      <w:rFonts w:ascii="Arial" w:hAnsi="Arial"/>
      <w:lang w:eastAsia="es-ES"/>
    </w:rPr>
  </w:style>
  <w:style w:type="paragraph" w:styleId="Prrafodelista">
    <w:name w:val="List Paragraph"/>
    <w:basedOn w:val="Normal"/>
    <w:uiPriority w:val="72"/>
    <w:qFormat/>
    <w:rsid w:val="008A419F"/>
    <w:pPr>
      <w:ind w:left="708"/>
    </w:pPr>
  </w:style>
  <w:style w:type="character" w:customStyle="1" w:styleId="EncabezadoCar">
    <w:name w:val="Encabezado Car"/>
    <w:aliases w:val="Encabezado1 Car"/>
    <w:link w:val="Encabezado"/>
    <w:rsid w:val="0016135F"/>
    <w:rPr>
      <w:rFonts w:ascii="Arial" w:hAnsi="Arial"/>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43750547">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4" ma:contentTypeDescription="Crear nuevo documento." ma:contentTypeScope="" ma:versionID="69bc655543e67524a81febb952bc10f3">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386951461b0e2170670d8d4ab70aed96"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D0DB6-96E3-4D11-B4DD-AB6243C06648}">
  <ds:schemaRefs>
    <ds:schemaRef ds:uri="http://schemas.microsoft.com/sharepoint/v3/contenttype/forms"/>
  </ds:schemaRefs>
</ds:datastoreItem>
</file>

<file path=customXml/itemProps2.xml><?xml version="1.0" encoding="utf-8"?>
<ds:datastoreItem xmlns:ds="http://schemas.openxmlformats.org/officeDocument/2006/customXml" ds:itemID="{CAFC6F0F-A9D7-4503-AC49-F3B5A26CF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71F96-E2FE-4018-AD90-D0C80F3F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4324</Words>
  <Characters>23784</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28052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MANUEL AVILA OLARTE</cp:lastModifiedBy>
  <cp:revision>2</cp:revision>
  <cp:lastPrinted>2026-06-24T00:14:00Z</cp:lastPrinted>
  <dcterms:created xsi:type="dcterms:W3CDTF">2026-07-23T22:14:00Z</dcterms:created>
  <dcterms:modified xsi:type="dcterms:W3CDTF">2026-07-23T22:14:00Z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y fmtid="{D5CDD505-2E9C-101B-9397-08002B2CF9AE}" pid="3" name="_activity">
    <vt:lpwstr/>
  </property>
</Properties>
</file>